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CCF44" w14:textId="77777777" w:rsidR="005D10CA" w:rsidRDefault="005D10CA" w:rsidP="005D10CA">
      <w:pPr>
        <w:pStyle w:val="a7"/>
        <w:numPr>
          <w:ilvl w:val="0"/>
          <w:numId w:val="21"/>
        </w:numPr>
      </w:pPr>
      <w:r>
        <w:t>Номер закупки.</w:t>
      </w:r>
    </w:p>
    <w:p w14:paraId="65883A3E" w14:textId="77777777" w:rsidR="005D10CA" w:rsidRDefault="005D10CA" w:rsidP="005D10CA">
      <w:pPr>
        <w:pStyle w:val="a7"/>
      </w:pPr>
      <w:r>
        <w:t xml:space="preserve">1.1. Текстовый запрос: </w:t>
      </w:r>
      <w:r w:rsidR="00C0138E">
        <w:t>0173100010814000119</w:t>
      </w:r>
    </w:p>
    <w:p w14:paraId="362F54DC" w14:textId="77777777" w:rsidR="005D10CA" w:rsidRDefault="005D10CA" w:rsidP="005D10CA">
      <w:pPr>
        <w:pStyle w:val="a7"/>
        <w:numPr>
          <w:ilvl w:val="0"/>
          <w:numId w:val="21"/>
        </w:numPr>
      </w:pPr>
      <w:r>
        <w:t>Способ закупки.</w:t>
      </w:r>
    </w:p>
    <w:p w14:paraId="50D74AD2" w14:textId="77777777" w:rsidR="005D10CA" w:rsidRPr="009833DB" w:rsidRDefault="005D10CA" w:rsidP="005D10CA">
      <w:pPr>
        <w:pStyle w:val="a7"/>
        <w:numPr>
          <w:ilvl w:val="1"/>
          <w:numId w:val="23"/>
        </w:numPr>
        <w:rPr>
          <w:highlight w:val="yellow"/>
        </w:rPr>
      </w:pPr>
      <w:r w:rsidRPr="009833DB">
        <w:rPr>
          <w:highlight w:val="yellow"/>
        </w:rPr>
        <w:t>Электронный аукцион</w:t>
      </w:r>
    </w:p>
    <w:p w14:paraId="6E5E3E64" w14:textId="77777777" w:rsidR="005D10CA" w:rsidRPr="003F399B" w:rsidRDefault="005D10CA" w:rsidP="005D10CA">
      <w:pPr>
        <w:pStyle w:val="a7"/>
        <w:numPr>
          <w:ilvl w:val="1"/>
          <w:numId w:val="23"/>
        </w:numPr>
      </w:pPr>
      <w:r w:rsidRPr="003F399B">
        <w:t>Открытый конкурс</w:t>
      </w:r>
    </w:p>
    <w:p w14:paraId="308C75F2" w14:textId="77777777" w:rsidR="005D10CA" w:rsidRPr="00433EED" w:rsidRDefault="005D10CA" w:rsidP="005D10CA">
      <w:pPr>
        <w:pStyle w:val="a7"/>
        <w:numPr>
          <w:ilvl w:val="1"/>
          <w:numId w:val="23"/>
        </w:numPr>
      </w:pPr>
      <w:r w:rsidRPr="00433EED">
        <w:t>Открытый конкурс с ограниченным участием</w:t>
      </w:r>
    </w:p>
    <w:p w14:paraId="179582E2" w14:textId="77777777" w:rsidR="005D10CA" w:rsidRDefault="005D10CA" w:rsidP="005D10CA">
      <w:pPr>
        <w:pStyle w:val="a7"/>
        <w:numPr>
          <w:ilvl w:val="0"/>
          <w:numId w:val="21"/>
        </w:numPr>
      </w:pPr>
      <w:bookmarkStart w:id="0" w:name="_GoBack"/>
      <w:bookmarkEnd w:id="0"/>
      <w:r>
        <w:t>Предмет закупки.</w:t>
      </w:r>
    </w:p>
    <w:p w14:paraId="5DCAD3E5" w14:textId="77777777" w:rsidR="005D10CA" w:rsidRPr="003F399B" w:rsidRDefault="005D10CA" w:rsidP="005D10CA">
      <w:pPr>
        <w:pStyle w:val="a7"/>
        <w:numPr>
          <w:ilvl w:val="1"/>
          <w:numId w:val="24"/>
        </w:numPr>
      </w:pPr>
      <w:r w:rsidRPr="003F399B">
        <w:t>Строительство</w:t>
      </w:r>
    </w:p>
    <w:p w14:paraId="492FD015" w14:textId="77777777" w:rsidR="005D10CA" w:rsidRDefault="005D10CA" w:rsidP="005D10CA">
      <w:pPr>
        <w:pStyle w:val="a7"/>
        <w:numPr>
          <w:ilvl w:val="1"/>
          <w:numId w:val="24"/>
        </w:numPr>
      </w:pPr>
      <w:r>
        <w:t>Медицина</w:t>
      </w:r>
    </w:p>
    <w:p w14:paraId="4A4E91F1" w14:textId="77777777" w:rsidR="005D10CA" w:rsidRPr="007F7AAB" w:rsidRDefault="005D10CA" w:rsidP="005D10CA">
      <w:pPr>
        <w:pStyle w:val="a7"/>
        <w:numPr>
          <w:ilvl w:val="1"/>
          <w:numId w:val="24"/>
        </w:numPr>
      </w:pPr>
      <w:r w:rsidRPr="007F7AAB">
        <w:t>Продукты питания</w:t>
      </w:r>
    </w:p>
    <w:p w14:paraId="43419BFF" w14:textId="77777777" w:rsidR="005D10CA" w:rsidRDefault="005D10CA" w:rsidP="005D10CA">
      <w:pPr>
        <w:pStyle w:val="a7"/>
        <w:numPr>
          <w:ilvl w:val="1"/>
          <w:numId w:val="24"/>
        </w:numPr>
      </w:pPr>
      <w:r>
        <w:t>Реставрация</w:t>
      </w:r>
    </w:p>
    <w:p w14:paraId="470A707C" w14:textId="77777777" w:rsidR="005D10CA" w:rsidRPr="00AD48A5" w:rsidRDefault="005D10CA" w:rsidP="005D10CA">
      <w:pPr>
        <w:pStyle w:val="a7"/>
        <w:numPr>
          <w:ilvl w:val="1"/>
          <w:numId w:val="24"/>
        </w:numPr>
        <w:rPr>
          <w:highlight w:val="yellow"/>
        </w:rPr>
      </w:pPr>
      <w:r w:rsidRPr="00AD48A5">
        <w:rPr>
          <w:highlight w:val="yellow"/>
        </w:rPr>
        <w:t>Техническое обслуживание</w:t>
      </w:r>
    </w:p>
    <w:p w14:paraId="768A1FA2" w14:textId="77777777" w:rsidR="005D10CA" w:rsidRDefault="005D10CA" w:rsidP="005D10CA">
      <w:pPr>
        <w:pStyle w:val="a7"/>
        <w:numPr>
          <w:ilvl w:val="0"/>
          <w:numId w:val="21"/>
        </w:numPr>
      </w:pPr>
      <w:r>
        <w:t>Орган, рассматривающий жалобу.</w:t>
      </w:r>
    </w:p>
    <w:p w14:paraId="2BEC7AD8" w14:textId="77777777" w:rsidR="005D10CA" w:rsidRPr="00491E37" w:rsidRDefault="005D10CA" w:rsidP="005D10CA">
      <w:pPr>
        <w:pStyle w:val="a7"/>
        <w:numPr>
          <w:ilvl w:val="1"/>
          <w:numId w:val="25"/>
        </w:numPr>
        <w:rPr>
          <w:highlight w:val="yellow"/>
        </w:rPr>
      </w:pPr>
      <w:r w:rsidRPr="00491E37">
        <w:rPr>
          <w:highlight w:val="yellow"/>
        </w:rPr>
        <w:t>ФАС России</w:t>
      </w:r>
    </w:p>
    <w:p w14:paraId="2A318703" w14:textId="77777777" w:rsidR="005D10CA" w:rsidRPr="007F7AAB" w:rsidRDefault="005D10CA" w:rsidP="005D10CA">
      <w:pPr>
        <w:pStyle w:val="a7"/>
        <w:numPr>
          <w:ilvl w:val="1"/>
          <w:numId w:val="25"/>
        </w:numPr>
      </w:pPr>
      <w:r w:rsidRPr="007F7AAB">
        <w:t>Санкт-Петербургский УФАС</w:t>
      </w:r>
    </w:p>
    <w:p w14:paraId="49155010" w14:textId="77777777" w:rsidR="005D10CA" w:rsidRPr="00491E37" w:rsidRDefault="005D10CA" w:rsidP="005D10CA">
      <w:pPr>
        <w:pStyle w:val="a7"/>
        <w:numPr>
          <w:ilvl w:val="1"/>
          <w:numId w:val="25"/>
        </w:numPr>
      </w:pPr>
      <w:r w:rsidRPr="00491E37">
        <w:t>Ленинградский УФАС</w:t>
      </w:r>
    </w:p>
    <w:p w14:paraId="51AD44B6" w14:textId="77777777" w:rsidR="005D10CA" w:rsidRDefault="005D10CA" w:rsidP="005D10CA">
      <w:pPr>
        <w:pStyle w:val="a7"/>
        <w:numPr>
          <w:ilvl w:val="0"/>
          <w:numId w:val="21"/>
        </w:numPr>
      </w:pPr>
      <w:r>
        <w:t>Содержание жалобы:</w:t>
      </w:r>
    </w:p>
    <w:p w14:paraId="7F31DE38" w14:textId="77777777" w:rsidR="005D10CA" w:rsidRPr="009833DB" w:rsidRDefault="005D10CA" w:rsidP="005D10CA">
      <w:pPr>
        <w:pStyle w:val="a7"/>
        <w:numPr>
          <w:ilvl w:val="1"/>
          <w:numId w:val="26"/>
        </w:numPr>
        <w:rPr>
          <w:highlight w:val="yellow"/>
        </w:rPr>
      </w:pPr>
      <w:r w:rsidRPr="009833DB">
        <w:rPr>
          <w:highlight w:val="yellow"/>
        </w:rPr>
        <w:t>описание объекта закупки</w:t>
      </w:r>
    </w:p>
    <w:p w14:paraId="3726FDF5" w14:textId="77777777" w:rsidR="005D10CA" w:rsidRPr="00C0138E" w:rsidRDefault="005D10CA" w:rsidP="005D10CA">
      <w:pPr>
        <w:pStyle w:val="a7"/>
        <w:numPr>
          <w:ilvl w:val="1"/>
          <w:numId w:val="26"/>
        </w:numPr>
      </w:pPr>
      <w:r w:rsidRPr="00C0138E">
        <w:t>выбор способа закупки</w:t>
      </w:r>
    </w:p>
    <w:p w14:paraId="6DE98455" w14:textId="77777777" w:rsidR="005D10CA" w:rsidRPr="003F399B" w:rsidRDefault="005D10CA" w:rsidP="005D10CA">
      <w:pPr>
        <w:pStyle w:val="a7"/>
        <w:numPr>
          <w:ilvl w:val="1"/>
          <w:numId w:val="26"/>
        </w:numPr>
      </w:pPr>
      <w:r w:rsidRPr="003F399B">
        <w:t>условия допуска к закупке</w:t>
      </w:r>
    </w:p>
    <w:p w14:paraId="32869309" w14:textId="77777777" w:rsidR="005D10CA" w:rsidRPr="003F399B" w:rsidRDefault="005D10CA" w:rsidP="005D10CA">
      <w:pPr>
        <w:pStyle w:val="a7"/>
        <w:numPr>
          <w:ilvl w:val="1"/>
          <w:numId w:val="26"/>
        </w:numPr>
      </w:pPr>
      <w:r w:rsidRPr="003F399B">
        <w:t>ограничение количества участников путем объединения</w:t>
      </w:r>
    </w:p>
    <w:p w14:paraId="6FC3984F" w14:textId="77777777" w:rsidR="005D10CA" w:rsidRPr="007F7AAB" w:rsidRDefault="005D10CA" w:rsidP="005D10CA">
      <w:pPr>
        <w:pStyle w:val="a7"/>
        <w:numPr>
          <w:ilvl w:val="1"/>
          <w:numId w:val="26"/>
        </w:numPr>
      </w:pPr>
      <w:r w:rsidRPr="007F7AAB">
        <w:t>порядок оценки</w:t>
      </w:r>
    </w:p>
    <w:p w14:paraId="3DB6F8F3" w14:textId="77777777" w:rsidR="005D10CA" w:rsidRDefault="005D10CA" w:rsidP="005D10CA">
      <w:pPr>
        <w:pStyle w:val="a7"/>
        <w:numPr>
          <w:ilvl w:val="1"/>
          <w:numId w:val="26"/>
        </w:numPr>
      </w:pPr>
      <w:r w:rsidRPr="000F418C">
        <w:t>отказ в допуске</w:t>
      </w:r>
    </w:p>
    <w:p w14:paraId="2F794BA2" w14:textId="77777777" w:rsidR="005D10CA" w:rsidRPr="00A25022" w:rsidRDefault="005D10CA" w:rsidP="005D10CA">
      <w:pPr>
        <w:pStyle w:val="a7"/>
        <w:numPr>
          <w:ilvl w:val="1"/>
          <w:numId w:val="26"/>
        </w:numPr>
      </w:pPr>
      <w:r w:rsidRPr="00A25022">
        <w:t>необоснованный допуск</w:t>
      </w:r>
    </w:p>
    <w:p w14:paraId="5B575905" w14:textId="77777777" w:rsidR="005D10CA" w:rsidRDefault="005D10CA" w:rsidP="005D10CA">
      <w:pPr>
        <w:pStyle w:val="a7"/>
        <w:numPr>
          <w:ilvl w:val="1"/>
          <w:numId w:val="26"/>
        </w:numPr>
      </w:pPr>
      <w:r>
        <w:t>иное</w:t>
      </w:r>
    </w:p>
    <w:p w14:paraId="40FF067C" w14:textId="77777777" w:rsidR="005D10CA" w:rsidRDefault="005D10CA" w:rsidP="005D10CA">
      <w:pPr>
        <w:pStyle w:val="a7"/>
        <w:numPr>
          <w:ilvl w:val="0"/>
          <w:numId w:val="21"/>
        </w:numPr>
      </w:pPr>
      <w:r>
        <w:t xml:space="preserve">Результат рассмотрения жалоб: </w:t>
      </w:r>
    </w:p>
    <w:p w14:paraId="12A88B95" w14:textId="77777777" w:rsidR="005D10CA" w:rsidRPr="00A25022" w:rsidRDefault="005D10CA" w:rsidP="005D10CA">
      <w:pPr>
        <w:pStyle w:val="a7"/>
        <w:numPr>
          <w:ilvl w:val="0"/>
          <w:numId w:val="22"/>
        </w:numPr>
      </w:pPr>
      <w:r w:rsidRPr="00A25022">
        <w:t>необоснована</w:t>
      </w:r>
    </w:p>
    <w:p w14:paraId="66FF8002" w14:textId="77777777" w:rsidR="005D10CA" w:rsidRPr="00A25022" w:rsidRDefault="005D10CA" w:rsidP="005D10CA">
      <w:pPr>
        <w:pStyle w:val="a7"/>
        <w:numPr>
          <w:ilvl w:val="0"/>
          <w:numId w:val="22"/>
        </w:numPr>
        <w:rPr>
          <w:highlight w:val="yellow"/>
        </w:rPr>
      </w:pPr>
      <w:r w:rsidRPr="00A25022">
        <w:rPr>
          <w:highlight w:val="yellow"/>
        </w:rPr>
        <w:t>обоснована или частично обоснована</w:t>
      </w:r>
    </w:p>
    <w:p w14:paraId="72DEC55C" w14:textId="77777777" w:rsidR="005D10CA" w:rsidRPr="00C0138E" w:rsidRDefault="005D10CA" w:rsidP="005D10CA">
      <w:pPr>
        <w:pStyle w:val="a7"/>
        <w:numPr>
          <w:ilvl w:val="0"/>
          <w:numId w:val="22"/>
        </w:numPr>
      </w:pPr>
      <w:r w:rsidRPr="00C0138E">
        <w:t>выдано предписание  о внесении изменений/анулировании закупки</w:t>
      </w:r>
    </w:p>
    <w:p w14:paraId="67464531" w14:textId="77777777" w:rsidR="005D10CA" w:rsidRDefault="005D10CA" w:rsidP="005D10CA">
      <w:pPr>
        <w:pStyle w:val="a7"/>
        <w:numPr>
          <w:ilvl w:val="0"/>
          <w:numId w:val="22"/>
        </w:numPr>
      </w:pPr>
      <w:r w:rsidRPr="000F418C">
        <w:t>выдано предписание о пересмотре заявок</w:t>
      </w:r>
    </w:p>
    <w:p w14:paraId="0DD962DD" w14:textId="77777777" w:rsidR="005D10CA" w:rsidRPr="00C0138E" w:rsidRDefault="005D10CA" w:rsidP="005D10CA">
      <w:pPr>
        <w:pStyle w:val="a7"/>
        <w:numPr>
          <w:ilvl w:val="0"/>
          <w:numId w:val="22"/>
        </w:numPr>
        <w:rPr>
          <w:highlight w:val="yellow"/>
        </w:rPr>
      </w:pPr>
      <w:r w:rsidRPr="00C0138E">
        <w:rPr>
          <w:highlight w:val="yellow"/>
        </w:rPr>
        <w:t>выдано предписание о не учитывании незаконных положений</w:t>
      </w:r>
    </w:p>
    <w:p w14:paraId="67B267A3" w14:textId="77777777" w:rsidR="005D10CA" w:rsidRDefault="005D10CA" w:rsidP="005D10CA">
      <w:pPr>
        <w:spacing w:line="340" w:lineRule="exact"/>
        <w:ind w:left="522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p w14:paraId="423ED0A0" w14:textId="77777777" w:rsidR="005D10CA" w:rsidRDefault="005D10CA">
      <w:pPr>
        <w:spacing w:before="0" w:line="340" w:lineRule="exact"/>
        <w:ind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РЕШЕНИЕ</w:t>
      </w:r>
    </w:p>
    <w:p w14:paraId="7ED65FFD" w14:textId="77777777" w:rsidR="005D10CA" w:rsidRDefault="005D10CA">
      <w:pPr>
        <w:spacing w:before="0" w:line="340" w:lineRule="exact"/>
        <w:ind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делу К–1822/14 о нарушении </w:t>
      </w:r>
    </w:p>
    <w:p w14:paraId="012D7343" w14:textId="77777777" w:rsidR="005D10CA" w:rsidRDefault="005D10CA">
      <w:pPr>
        <w:spacing w:before="0" w:line="340" w:lineRule="exact"/>
        <w:ind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законодательства Российской Федерации </w:t>
      </w:r>
    </w:p>
    <w:p w14:paraId="47AB78AD" w14:textId="77777777" w:rsidR="005D10CA" w:rsidRDefault="005D10CA">
      <w:pPr>
        <w:spacing w:before="0" w:line="340" w:lineRule="exact"/>
        <w:ind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контрактной системе в сфере закупок</w:t>
      </w:r>
    </w:p>
    <w:p w14:paraId="18416C8D" w14:textId="77777777" w:rsidR="005D10CA" w:rsidRDefault="005D10CA">
      <w:pPr>
        <w:spacing w:before="0" w:line="340" w:lineRule="exact"/>
        <w:ind w:firstLine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2"/>
        <w:gridCol w:w="4987"/>
      </w:tblGrid>
      <w:tr w:rsidR="005D10CA" w14:paraId="76B8D3D1" w14:textId="77777777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0EE2B26" w14:textId="77777777" w:rsidR="005D10CA" w:rsidRDefault="005D10CA">
            <w:pPr>
              <w:spacing w:before="0" w:line="340" w:lineRule="exact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10.12.2014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BFA270B" w14:textId="77777777" w:rsidR="005D10CA" w:rsidRDefault="005D10CA">
            <w:pPr>
              <w:spacing w:before="0" w:line="340" w:lineRule="exact"/>
              <w:ind w:right="-72" w:firstLine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Москва</w:t>
            </w:r>
          </w:p>
        </w:tc>
      </w:tr>
    </w:tbl>
    <w:p w14:paraId="2BA2FED3" w14:textId="77777777" w:rsidR="005D10CA" w:rsidRDefault="005D10CA">
      <w:pPr>
        <w:spacing w:before="0" w:line="340" w:lineRule="exact"/>
        <w:ind w:firstLine="0"/>
        <w:jc w:val="center"/>
        <w:rPr>
          <w:rFonts w:ascii="Times New Roman CYR" w:hAnsi="Times New Roman CYR" w:cs="Times New Roman CYR"/>
        </w:rPr>
      </w:pPr>
    </w:p>
    <w:p w14:paraId="2716AEE8" w14:textId="77777777" w:rsidR="005D10CA" w:rsidRDefault="005D10CA">
      <w:pPr>
        <w:spacing w:line="340" w:lineRule="exact"/>
        <w:ind w:firstLine="720"/>
        <w:jc w:val="both"/>
      </w:pPr>
      <w:r>
        <w:t>Комиссия Федеральной антимонопольной службы по контролю в сфере закупок (далее – Комиссия) рассмотрев жалобу ООО «Розтэра» (далее – Заявитель) на действия  Министерства юстиции Российской Федерации (далее - Заказчик) при проведении ОАО «Единая электронная торговая площадка» (далее - Оператор электронной площадки) электронного аукциона на право заключения государственного контракта на оказание услуг по комплексному обслуживанию и текущему ремонту инженерных систем и оборудования административных зданий Минюста России по адресам: ул. Житная, д. 14, стр. 1, ул. Крижановского, д. 7, корп.1 и д. 13, корп. 1 (для субъектов малого предпринимательства) (номер извещения 0173100010814000119) (далее – Аукцион), и в результате осуществления внеплановой проверки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</w:p>
    <w:p w14:paraId="2C40D459" w14:textId="77777777" w:rsidR="005D10CA" w:rsidRDefault="005D10CA">
      <w:pPr>
        <w:spacing w:line="340" w:lineRule="exact"/>
        <w:ind w:firstLine="0"/>
        <w:jc w:val="center"/>
      </w:pPr>
      <w:r>
        <w:t>УСТАНОВИЛА:</w:t>
      </w:r>
    </w:p>
    <w:p w14:paraId="4E1F1A8C" w14:textId="77777777" w:rsidR="005D10CA" w:rsidRDefault="005D10CA">
      <w:pPr>
        <w:spacing w:line="340" w:lineRule="exact"/>
        <w:jc w:val="both"/>
      </w:pPr>
      <w:r>
        <w:t>В Федеральную антимонопольную службу поступила жалоба Заявителя на действия Заказчика при проведении Оператором электронной площадки Аукциона.</w:t>
      </w:r>
    </w:p>
    <w:p w14:paraId="1A4A39E3" w14:textId="77777777" w:rsidR="005D10CA" w:rsidRDefault="005D10CA">
      <w:pPr>
        <w:spacing w:line="340" w:lineRule="exact"/>
        <w:jc w:val="both"/>
      </w:pPr>
      <w:r>
        <w:t>По мнению Заявителя, его права и законные интересы нарушены следующими действиями Заказчика:</w:t>
      </w:r>
    </w:p>
    <w:p w14:paraId="2C9B88D1" w14:textId="77777777" w:rsidR="005D10CA" w:rsidRDefault="005D10CA">
      <w:pPr>
        <w:spacing w:line="340" w:lineRule="exact"/>
        <w:jc w:val="both"/>
      </w:pPr>
      <w:r>
        <w:t>1.</w:t>
      </w:r>
      <w:r>
        <w:tab/>
        <w:t>Заказчиком в проекте государственного контракта не установлен срок действия и исполнения контракта.</w:t>
      </w:r>
    </w:p>
    <w:p w14:paraId="65DC7B1D" w14:textId="77777777" w:rsidR="005D10CA" w:rsidRDefault="005D10CA">
      <w:pPr>
        <w:spacing w:line="340" w:lineRule="exact"/>
        <w:jc w:val="both"/>
      </w:pPr>
      <w:r>
        <w:t>2.</w:t>
      </w:r>
      <w:r>
        <w:tab/>
        <w:t>Заказчиком в проекте государственного контракта неправомерно установлено положение об освобождении заказчика от ответственности за неисполнение своих обязательств в случае отсутствия бюджетного финансирования.</w:t>
      </w:r>
    </w:p>
    <w:p w14:paraId="566BE26C" w14:textId="77777777" w:rsidR="005D10CA" w:rsidRDefault="005D10CA">
      <w:pPr>
        <w:spacing w:line="340" w:lineRule="exact"/>
        <w:jc w:val="both"/>
      </w:pPr>
      <w:r>
        <w:t>3.</w:t>
      </w:r>
      <w:r>
        <w:tab/>
        <w:t>Заказчиком в пунктах 2, 5, 8, 15, 17, 21 приложения № 2 к техническому заданию не надлежащим образом установлены требования к поставляемому товару.</w:t>
      </w:r>
    </w:p>
    <w:p w14:paraId="03DA2FBE" w14:textId="77777777" w:rsidR="005D10CA" w:rsidRDefault="005D10CA">
      <w:pPr>
        <w:spacing w:line="340" w:lineRule="exact"/>
        <w:jc w:val="both"/>
      </w:pPr>
      <w:r>
        <w:t>Представители Заказчика не согласились с доводами Заявителя и сообщили, что при проведении Аукциона Заказчик действовал в соответствии в соответствии с Законом о контрактной системе.</w:t>
      </w:r>
    </w:p>
    <w:p w14:paraId="64662BB7" w14:textId="77777777" w:rsidR="005D10CA" w:rsidRDefault="005D10CA">
      <w:pPr>
        <w:spacing w:line="340" w:lineRule="exact"/>
        <w:jc w:val="both"/>
      </w:pPr>
      <w:r>
        <w:t>В результате рассмотрения жалобы и осуществления в соответствии с пунктом 1 части 15 статьи 99 Закона о контрактной системе внеплановой проверки Комиссия установила следующее.</w:t>
      </w:r>
    </w:p>
    <w:p w14:paraId="3EA80550" w14:textId="77777777" w:rsidR="005D10CA" w:rsidRDefault="005D10CA">
      <w:pPr>
        <w:spacing w:line="340" w:lineRule="exact"/>
        <w:jc w:val="both"/>
      </w:pPr>
      <w:r>
        <w:t>В соответствии с извещением о проведении Аукциона, документацией об Аукционе, протоколами, составленными при определении поставщика (подрядчика, исполнителя):</w:t>
      </w:r>
    </w:p>
    <w:p w14:paraId="4EE0B53D" w14:textId="77777777" w:rsidR="005D10CA" w:rsidRDefault="005D10CA">
      <w:pPr>
        <w:spacing w:line="340" w:lineRule="exact"/>
        <w:jc w:val="both"/>
      </w:pPr>
      <w:r>
        <w:t>1)</w:t>
      </w:r>
      <w:r>
        <w:tab/>
        <w:t>извещение о проведении Аукциона размещено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(далее – Официальный сайт) – 21.11.2014;</w:t>
      </w:r>
    </w:p>
    <w:p w14:paraId="1D95C392" w14:textId="77777777" w:rsidR="005D10CA" w:rsidRDefault="005D10CA">
      <w:pPr>
        <w:spacing w:line="340" w:lineRule="exact"/>
        <w:jc w:val="both"/>
      </w:pPr>
      <w:r>
        <w:t>2)</w:t>
      </w:r>
      <w:r>
        <w:tab/>
        <w:t>начальная (максимальная) цена контракта – 18 500 000 рублей;</w:t>
      </w:r>
    </w:p>
    <w:p w14:paraId="157C8CC9" w14:textId="77777777" w:rsidR="005D10CA" w:rsidRDefault="005D10CA">
      <w:pPr>
        <w:spacing w:line="340" w:lineRule="exact"/>
        <w:jc w:val="both"/>
      </w:pPr>
      <w:r>
        <w:t>3)</w:t>
      </w:r>
      <w:r>
        <w:tab/>
        <w:t>дата проведения Аукциона – 15.12.2014;</w:t>
      </w:r>
    </w:p>
    <w:p w14:paraId="6631BF34" w14:textId="77777777" w:rsidR="005D10CA" w:rsidRDefault="005D10CA">
      <w:pPr>
        <w:spacing w:line="340" w:lineRule="exact"/>
        <w:jc w:val="both"/>
      </w:pPr>
      <w:r>
        <w:t>1.</w:t>
      </w:r>
      <w:r>
        <w:tab/>
        <w:t xml:space="preserve">Согласно частям 5, 7 статьи 34 Закона о контрактной системе, в контракте должен быть установлен срок исполнения обязательств. </w:t>
      </w:r>
    </w:p>
    <w:p w14:paraId="1D8112F9" w14:textId="77777777" w:rsidR="005D10CA" w:rsidRDefault="005D10CA">
      <w:pPr>
        <w:spacing w:line="340" w:lineRule="exact"/>
        <w:jc w:val="both"/>
      </w:pPr>
      <w:r>
        <w:t>Согласно части 3 статьи 96 Закона о контрактной системе, исполнение контракта может обеспечиваться предоставлением банковской гарантии, выданной банком и соответствующей требованиям статьи 45 Закона о контрактной системе,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</w:r>
    </w:p>
    <w:p w14:paraId="7BC18F34" w14:textId="77777777" w:rsidR="005D10CA" w:rsidRDefault="005D10CA">
      <w:pPr>
        <w:spacing w:line="340" w:lineRule="exact"/>
        <w:jc w:val="both"/>
      </w:pPr>
      <w:r>
        <w:t>Пунктом 3.1. проекта государственного контракта, срок исполнения Исполнителем своих обязательств по Контракту устанавливается с 01.01.2015 по 31.12.2015.</w:t>
      </w:r>
    </w:p>
    <w:p w14:paraId="4B9FB94C" w14:textId="77777777" w:rsidR="005D10CA" w:rsidRDefault="005D10CA">
      <w:pPr>
        <w:spacing w:line="340" w:lineRule="exact"/>
        <w:jc w:val="both"/>
      </w:pPr>
      <w:r>
        <w:t>Пунктом 12.1 проекта государственного контракта, контракт вступает в силу с момента его подписания Сторонами и действует до полного исполнения Сторонами своих обязательств по Контракту.</w:t>
      </w:r>
    </w:p>
    <w:p w14:paraId="499478BE" w14:textId="77777777" w:rsidR="005D10CA" w:rsidRDefault="005D10CA">
      <w:pPr>
        <w:spacing w:line="340" w:lineRule="exact"/>
        <w:jc w:val="both"/>
      </w:pPr>
      <w:r>
        <w:t>Пунктом 12.2 проекта государственного контракта, окончание срока действия контракта не освобождает Стороны от исполнения принятых на себя обязательств.</w:t>
      </w:r>
    </w:p>
    <w:p w14:paraId="5FE8EC96" w14:textId="77777777" w:rsidR="005D10CA" w:rsidRDefault="005D10CA">
      <w:pPr>
        <w:spacing w:line="340" w:lineRule="exact"/>
        <w:jc w:val="both"/>
      </w:pPr>
      <w:r>
        <w:t>Пунктом 4.3 проекта государственного контракта, Заказчик в течение 10 (десяти) рабочих дней с момента получения предусмотренных пунктом 4.2 Контракта документов обязан принять оказанные Исполнителем Услуги и при отсутствии замечаний к качеству Услуг подписать Акт сдачи-приемки услуг в 2 (двух) экземплярах, после чего направить 1 (один) его экземпляр Исполнителю либо мотивированный отказ от приемки Услуг и их оплаты.</w:t>
      </w:r>
    </w:p>
    <w:p w14:paraId="05C90EFD" w14:textId="77777777" w:rsidR="005D10CA" w:rsidRDefault="005D10CA">
      <w:pPr>
        <w:spacing w:line="340" w:lineRule="exact"/>
        <w:jc w:val="both"/>
      </w:pPr>
      <w:r>
        <w:t xml:space="preserve">Пунктом 2.8 проекта государственного контракта, оплата цены контракта производится Заказчиком по факту выполнения оказания услуг на основании надлежащим образом оформленного и подписанного обеими Сторонами акта сдачи-приемки услуг в течение 15 (пятнадцати) банковских дней с даты выставления Исполнителем счета/счета-фактуры на оплату цены контракта. </w:t>
      </w:r>
    </w:p>
    <w:p w14:paraId="0D50A0E2" w14:textId="77777777" w:rsidR="005D10CA" w:rsidRDefault="005D10CA">
      <w:pPr>
        <w:spacing w:line="340" w:lineRule="exact"/>
        <w:jc w:val="both"/>
      </w:pPr>
      <w:r>
        <w:t>Пунктом 5.2.1 документации об Аукционе установлено, что срок действия банковской гарантии должен превышать срок действия контракта                  не менее чем на один месяц.</w:t>
      </w:r>
    </w:p>
    <w:p w14:paraId="6938AE94" w14:textId="77777777" w:rsidR="005D10CA" w:rsidRDefault="005D10CA">
      <w:pPr>
        <w:spacing w:line="340" w:lineRule="exact"/>
        <w:jc w:val="both"/>
      </w:pPr>
      <w:r>
        <w:t>На заседании Комиссии установлено, что срок исполнения обязательств по контракту установлен до 31.12.2015. Вместе с тем, максимальный срок действия контракта является 12.02.2016, а срок действия банковской гарантии 14.03.2016.</w:t>
      </w:r>
    </w:p>
    <w:p w14:paraId="3E8E519C" w14:textId="77777777" w:rsidR="005D10CA" w:rsidRDefault="005D10CA">
      <w:pPr>
        <w:spacing w:line="340" w:lineRule="exact"/>
        <w:jc w:val="both"/>
      </w:pPr>
      <w:r>
        <w:t>Таким образом, довод Заявителя о том, что Заказчиком в проекте государственного контракта не установлен срок действия и исполнения контракта, не нашел своего подтверждения.</w:t>
      </w:r>
    </w:p>
    <w:p w14:paraId="74DDB273" w14:textId="77777777" w:rsidR="005D10CA" w:rsidRDefault="005D10CA">
      <w:pPr>
        <w:spacing w:line="340" w:lineRule="exact"/>
        <w:jc w:val="both"/>
      </w:pPr>
      <w:r>
        <w:t>2.</w:t>
      </w:r>
      <w:r>
        <w:tab/>
        <w:t>Частями 5, 7, 8 статьи 34 Закона о контрактной системе установлено, что заказчик обязан установить в контракте размер пени в случае просрочки исполнения заказчиком обязательств, предусмотренных контрактом, размер пени, определённый в порядке, установленном Правительством Российской Федерации, в случае просрочки исполнения поставщиком (подрядчиком, исполнителем) обязательств по контракту, а также размер штрафа в виде фиксированной суммы, определенной в порядке, установленном Правительством Российской Федерации, за ненадлежащее исполнение сторонами своих обязательств по контракту.</w:t>
      </w:r>
    </w:p>
    <w:p w14:paraId="7813CB61" w14:textId="77777777" w:rsidR="005D10CA" w:rsidRDefault="005D10CA">
      <w:pPr>
        <w:spacing w:line="340" w:lineRule="exact"/>
        <w:jc w:val="both"/>
      </w:pPr>
      <w:r>
        <w:t>Частью 9 статьи 34 Закона о контрактной системе,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2A6E2DC5" w14:textId="77777777" w:rsidR="005D10CA" w:rsidRDefault="005D10CA">
      <w:pPr>
        <w:spacing w:line="340" w:lineRule="exact"/>
        <w:jc w:val="both"/>
      </w:pPr>
      <w:r>
        <w:t>Частью 1 статьи 746 Гражданского кодекса Российской Федерации, оплата выполненных подрядчиком работ производится заказчиком в размере, предусмотренном сметой, в сроки и в порядке, которые установлены законом или договором строительного подряда. При отсутствии соответствующих указаний в законе или договоре оплата работ производится в соответствии со статьей 711 Гражданского кодекса Российской Федерации.</w:t>
      </w:r>
    </w:p>
    <w:p w14:paraId="5FDE96D6" w14:textId="77777777" w:rsidR="005D10CA" w:rsidRDefault="005D10CA">
      <w:pPr>
        <w:spacing w:line="340" w:lineRule="exact"/>
        <w:jc w:val="both"/>
      </w:pPr>
      <w:r>
        <w:t>В соответствии с частью 1 статьи 766 Гражданского кодекса Российской Федерации, государственный или муниципальный контракт должен содержать условия об объеме и о стоимости подлежащей выполнению работы, сроках ее начала и окончания, размере и порядке финансирования и оплаты работ, способах обеспечения исполнения обязательств сторон.</w:t>
      </w:r>
    </w:p>
    <w:p w14:paraId="794D7963" w14:textId="77777777" w:rsidR="005D10CA" w:rsidRDefault="005D10CA">
      <w:pPr>
        <w:spacing w:line="340" w:lineRule="exact"/>
        <w:jc w:val="both"/>
      </w:pPr>
      <w:r>
        <w:t>Частью 2 статьи 72 Бюджетного Кодекса Российской Федерации установлено, что государственные (муниципальные) контракты заключаются и оплачиваются в пределах лимитов бюджетных обязательств.</w:t>
      </w:r>
    </w:p>
    <w:p w14:paraId="2C36CF84" w14:textId="77777777" w:rsidR="005D10CA" w:rsidRDefault="005D10CA">
      <w:pPr>
        <w:spacing w:line="340" w:lineRule="exact"/>
        <w:jc w:val="both"/>
      </w:pPr>
      <w:r>
        <w:t>Согласно пункту 7.9 проекта государственного контракта документации об Аукционе: «Задержка выделения средств из федерального бюджета является основанием для освобождения Заказчика от ответственности за несвоевременную оплату».</w:t>
      </w:r>
    </w:p>
    <w:p w14:paraId="4DC3BADE" w14:textId="77777777" w:rsidR="005D10CA" w:rsidRDefault="005D10CA">
      <w:pPr>
        <w:spacing w:line="340" w:lineRule="exact"/>
        <w:jc w:val="both"/>
      </w:pPr>
      <w:r>
        <w:t>Таким образом, порядок оплаты выполненных работ в части сроков установлен в соответствии с бюджетным и гражданским законодательством Российской Федерации и не противоречит положениям Закона о контрактной системе.</w:t>
      </w:r>
    </w:p>
    <w:p w14:paraId="68E4AE2A" w14:textId="77777777" w:rsidR="005D10CA" w:rsidRDefault="005D10CA">
      <w:pPr>
        <w:spacing w:line="340" w:lineRule="exact"/>
        <w:jc w:val="both"/>
      </w:pPr>
      <w:r>
        <w:t>Следовательно, довод Заявителя о том, что Заказчиком в проекте государственного контракта неправомерно установлено положение об освобождении заказчика от ответственности за неисполнение своих обязательств в случае отсутствия бюджетного финансирования не нашел своего подтверждения.</w:t>
      </w:r>
    </w:p>
    <w:p w14:paraId="27FA6118" w14:textId="77777777" w:rsidR="005D10CA" w:rsidRDefault="005D10CA">
      <w:pPr>
        <w:spacing w:line="340" w:lineRule="exact"/>
        <w:jc w:val="both"/>
      </w:pPr>
      <w:r>
        <w:t>3.</w:t>
      </w:r>
      <w:r>
        <w:tab/>
        <w:t>Согласно пункту 1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системе, в том числе обоснование начальной (максимальной) цены контракта.</w:t>
      </w:r>
    </w:p>
    <w:p w14:paraId="4B6B9568" w14:textId="77777777" w:rsidR="005D10CA" w:rsidRDefault="005D10CA">
      <w:pPr>
        <w:spacing w:line="340" w:lineRule="exact"/>
        <w:jc w:val="both"/>
      </w:pPr>
      <w:r>
        <w:t>В соответствии с пунктом 1 части 1 статьи 33 Закона о контрактной системе Заказчик при описании в документации о закупке объекта закупки должен руководствоваться следующими правилами: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 точное и четкое описание характеристик объекта закупки.</w:t>
      </w:r>
    </w:p>
    <w:p w14:paraId="794F9FC1" w14:textId="77777777" w:rsidR="005D10CA" w:rsidRDefault="005D10CA">
      <w:pPr>
        <w:spacing w:line="340" w:lineRule="exact"/>
        <w:jc w:val="both"/>
      </w:pPr>
      <w:r>
        <w:t>Пунктом 6.5 ГОСТ Р ЕН 1822-1-2010 установлено:</w:t>
      </w:r>
    </w:p>
    <w:p w14:paraId="7EB09B4E" w14:textId="77777777" w:rsidR="005D10CA" w:rsidRDefault="005D10CA">
      <w:pPr>
        <w:spacing w:line="340" w:lineRule="exact"/>
        <w:jc w:val="both"/>
      </w:pPr>
      <w:r>
        <w:t>•</w:t>
      </w:r>
      <w:r>
        <w:tab/>
        <w:t>интегральное значение эффективности класса фильтра Н 13 ≥ 99,95%, при интегральном значении проскока ≤ 0,05 %.</w:t>
      </w:r>
    </w:p>
    <w:p w14:paraId="58430AA0" w14:textId="77777777" w:rsidR="005D10CA" w:rsidRDefault="005D10CA">
      <w:pPr>
        <w:spacing w:line="340" w:lineRule="exact"/>
        <w:jc w:val="both"/>
      </w:pPr>
      <w:r>
        <w:t>•</w:t>
      </w:r>
      <w:r>
        <w:tab/>
        <w:t>интегральное значение эффективности класса фильтра Н 13 ≥ 99,995%, при интегральном значении проскока ≤ 0,005 %.</w:t>
      </w:r>
    </w:p>
    <w:p w14:paraId="1EFB8FBE" w14:textId="77777777" w:rsidR="005D10CA" w:rsidRDefault="005D10CA">
      <w:pPr>
        <w:spacing w:line="340" w:lineRule="exact"/>
        <w:jc w:val="both"/>
      </w:pPr>
      <w:r>
        <w:t>Согласно пункту 7.5.3 ГОСТ Р ЕН 1822-1-2010 установлено: «Интегральная эффективность фильтрующего элемента может быть определена одним из следующих методов:</w:t>
      </w:r>
    </w:p>
    <w:p w14:paraId="33C629EA" w14:textId="77777777" w:rsidR="005D10CA" w:rsidRDefault="005D10CA">
      <w:pPr>
        <w:spacing w:line="340" w:lineRule="exact"/>
        <w:jc w:val="both"/>
      </w:pPr>
      <w:r>
        <w:t>- определением средней концентрации частиц в потоке до фильтра и после него при неподвижном положении пробоотборников (статический метод);</w:t>
      </w:r>
    </w:p>
    <w:p w14:paraId="5442D132" w14:textId="77777777" w:rsidR="005D10CA" w:rsidRDefault="005D10CA">
      <w:pPr>
        <w:spacing w:line="340" w:lineRule="exact"/>
        <w:jc w:val="both"/>
      </w:pPr>
      <w:r>
        <w:t>- непрерывной регистрацией концентрации частиц перед фильтром и после него при проведении испытания на проскок (утечку), когда пробоотборник до фильтра находится в неподвижном положении, и сканировании после фильтра, когда пробоотборник передвигается вдоль всей поверхности фильтра (метод сканирования)».</w:t>
      </w:r>
    </w:p>
    <w:p w14:paraId="2260472E" w14:textId="77777777" w:rsidR="005D10CA" w:rsidRDefault="005D10CA">
      <w:pPr>
        <w:spacing w:line="340" w:lineRule="exact"/>
        <w:jc w:val="both"/>
      </w:pPr>
      <w:r>
        <w:t>Пунктом 2 приложения № 2 к техническому заданию установлено, что «Высокоэффективные фильтры по ГОСТ Р ЕН 1822-1» имеют параметр «Интегральное значение эффективности фильтров ≤ 0.05 %».</w:t>
      </w:r>
    </w:p>
    <w:p w14:paraId="62976548" w14:textId="77777777" w:rsidR="005D10CA" w:rsidRDefault="005D10CA">
      <w:pPr>
        <w:spacing w:line="340" w:lineRule="exact"/>
        <w:jc w:val="both"/>
      </w:pPr>
      <w:r>
        <w:t xml:space="preserve">На заседании Комиссии представители Заказчика пояснили, что параметр «Интегральное значение эффективности фильтров» определяется согласно пункту 7.5.3 ГОСТ Р ЕН 1822-1-2010, а именно: «непрерывной регистрацией концентрации частиц перед фильтром и после него при проведении испытания на проскок (утечку), когда пробоотборник до фильтра находится в неподвижном положении, и сканировании после фильтра, когда пробоотборник передвигается вдоль всей поверхности фильтра (метод сканирования)» </w:t>
      </w:r>
    </w:p>
    <w:p w14:paraId="6515767C" w14:textId="77777777" w:rsidR="005D10CA" w:rsidRDefault="005D10CA">
      <w:pPr>
        <w:spacing w:line="340" w:lineRule="exact"/>
        <w:jc w:val="both"/>
      </w:pPr>
      <w:r>
        <w:t>Таким образом, довод Заявителя о том, что Заказчиком в пункте 2 приложения № 2 к техническому заданию не надлежащим образом установлены требования к поставляемому товару, не нашел своего подтверждения.</w:t>
      </w:r>
    </w:p>
    <w:p w14:paraId="036F7281" w14:textId="77777777" w:rsidR="005D10CA" w:rsidRDefault="005D10CA">
      <w:pPr>
        <w:spacing w:line="340" w:lineRule="exact"/>
        <w:jc w:val="both"/>
      </w:pPr>
      <w:r>
        <w:t>Согласно пункту 1 ГОСТ 28343 установлено: «Настоящий стандарт распространяется на шаровые стальные фланцевые краны на условное давление Ру от 1 до 10 МПа (от 10 до 100 кгс/см2) и условный проход Dy от 10 до 500 мм, предназначенные для нового проектирования».</w:t>
      </w:r>
    </w:p>
    <w:p w14:paraId="65887137" w14:textId="77777777" w:rsidR="005D10CA" w:rsidRDefault="005D10CA">
      <w:pPr>
        <w:spacing w:line="340" w:lineRule="exact"/>
        <w:jc w:val="both"/>
      </w:pPr>
      <w:r>
        <w:t>Пунктом 21 приложения № 2 к техническому заданию установлено, что «Краны шаровые стальные фланцевые ГОСТ 28343», обладают «условным давлением - 16 кг/см2».</w:t>
      </w:r>
    </w:p>
    <w:p w14:paraId="3E6C2738" w14:textId="77777777" w:rsidR="005D10CA" w:rsidRDefault="005D10CA">
      <w:pPr>
        <w:spacing w:line="340" w:lineRule="exact"/>
        <w:jc w:val="both"/>
      </w:pPr>
      <w:r>
        <w:t xml:space="preserve">На заседании Комиссии представители Заказчика сообщили, что в пункте 21 приложения № 2 к техническому заданию «Краны шаровые стальные фланцевые» </w:t>
      </w:r>
      <w:r>
        <w:tab/>
        <w:t>в параметре «Условное давление», указана единица измерения «кг/см2» не соответствующая требованиям указанным в ГОСТ 28343 ввиду технической ошибки.</w:t>
      </w:r>
    </w:p>
    <w:p w14:paraId="562959D2" w14:textId="77777777" w:rsidR="005D10CA" w:rsidRDefault="005D10CA">
      <w:pPr>
        <w:spacing w:line="340" w:lineRule="exact"/>
        <w:jc w:val="both"/>
      </w:pPr>
      <w:r>
        <w:t xml:space="preserve">Пунктом 5 приложения № 2 к техническому заданию установлено, что «Баллоны с фреоном R407c» в параметре «Плотность насыщенной жидкости при 25 С &gt; 1 кд/м3». </w:t>
      </w:r>
    </w:p>
    <w:p w14:paraId="0B67BC43" w14:textId="77777777" w:rsidR="005D10CA" w:rsidRDefault="005D10CA">
      <w:pPr>
        <w:spacing w:line="340" w:lineRule="exact"/>
        <w:jc w:val="both"/>
      </w:pPr>
      <w:r>
        <w:t>На заседании Комиссии представители Заказчика сообщили, что в пункте 5 приложения № 2 к техническому 5 приложения № 2 к техническому заданию «Баллоны с фреоном R407c» в параметре «Плотность насыщенной жидкости при 25 С &gt; 1 кд/м3» допущена техническая ошибка.</w:t>
      </w:r>
    </w:p>
    <w:p w14:paraId="25AE0A31" w14:textId="77777777" w:rsidR="005D10CA" w:rsidRDefault="005D10CA">
      <w:pPr>
        <w:spacing w:line="340" w:lineRule="exact"/>
        <w:jc w:val="both"/>
      </w:pPr>
      <w:r>
        <w:t>Пунктом 8 приложения № 2 к техническому заданию установлено, что «Выключатели автоматические по ГОСТ Р 50345» имеют параметр «Степень защиты от доступа к опасным частям, попадания внешних твердых предметов и проникновения воды корпуса выключателя более 20 IPчатели автоматические по ГОСТ Р 50345».</w:t>
      </w:r>
    </w:p>
    <w:p w14:paraId="20C9C7F4" w14:textId="77777777" w:rsidR="005D10CA" w:rsidRDefault="005D10CA">
      <w:pPr>
        <w:spacing w:line="340" w:lineRule="exact"/>
        <w:jc w:val="both"/>
      </w:pPr>
      <w:r>
        <w:t>На заседании Комиссии представители Заказчика сообщили, что в пункте 8 приложения № 2 к техническому заданию в параметре «Степень защиты от доступа к опасным частям, попадания внешних твердых предметов и проникновения воды корпуса выключателя более 20 IPчатели автоматические по ГОСТ Р 50345» допущена техническая ошибка.</w:t>
      </w:r>
    </w:p>
    <w:p w14:paraId="7808A06C" w14:textId="77777777" w:rsidR="005D10CA" w:rsidRDefault="005D10CA">
      <w:pPr>
        <w:spacing w:line="340" w:lineRule="exact"/>
        <w:jc w:val="both"/>
      </w:pPr>
      <w:r>
        <w:t>Пунктом 15 приложения № 2 к техническому заданию установлено, что «Трубы стальные водогазопроводные черные (неоцинкованные) по ГОСТ 3262» имеют параметр «- лотность стали труб - 7.85 г/см3».</w:t>
      </w:r>
    </w:p>
    <w:p w14:paraId="7DFF45B1" w14:textId="77777777" w:rsidR="005D10CA" w:rsidRDefault="005D10CA">
      <w:pPr>
        <w:spacing w:line="340" w:lineRule="exact"/>
        <w:jc w:val="both"/>
      </w:pPr>
      <w:r>
        <w:t>На заседании Комиссии представители Заказчика сообщили, что в пункте 15 приложения № 2 к техническому заданию в параметре «- лотность стали труб - 7.85 г/см3» допущена техническая ошибка.</w:t>
      </w:r>
    </w:p>
    <w:p w14:paraId="45219E3F" w14:textId="77777777" w:rsidR="005D10CA" w:rsidRDefault="005D10CA">
      <w:pPr>
        <w:spacing w:line="340" w:lineRule="exact"/>
        <w:jc w:val="both"/>
      </w:pPr>
      <w:r>
        <w:t>Пунктом 17 приложения № 2 к техническому заданию установлено, что Трубы стальные водогазопроводные черные (неоцинкованные) по ГОСТ 3262» имеют параметр «- словный проход труб - 25 мм».</w:t>
      </w:r>
    </w:p>
    <w:p w14:paraId="35C0B5F9" w14:textId="77777777" w:rsidR="005D10CA" w:rsidRDefault="005D10CA">
      <w:pPr>
        <w:spacing w:line="340" w:lineRule="exact"/>
        <w:jc w:val="both"/>
      </w:pPr>
      <w:r>
        <w:t>На заседании Комиссии представители Заказчика сообщили, что в пункте 17 приложения № 2 к техническому заданию в параметре «- словный проход труб - 25 мм» допущена техническая ошибка.</w:t>
      </w:r>
    </w:p>
    <w:p w14:paraId="3D11D831" w14:textId="77777777" w:rsidR="005D10CA" w:rsidRDefault="005D10CA">
      <w:pPr>
        <w:spacing w:line="340" w:lineRule="exact"/>
        <w:jc w:val="both"/>
      </w:pPr>
      <w:r>
        <w:t>Принимая во внимание наличие указанных технических ошибок, как пояснил Заказчик, а так же поступившие запросы о разъяснении положений документации об Аукционе, в том числе указанных выше пунктов документации об Аукционе, Заказчик разъяснил, что перечисленные выше пункты приложения № 2 к техническому заданию при рассмотрении заявок на участие в Аукционе, учитываться не будут. Указанные выше разъяснения положений документации об Аукционе размещены на Официальном сайте.</w:t>
      </w:r>
    </w:p>
    <w:p w14:paraId="709F9542" w14:textId="77777777" w:rsidR="005D10CA" w:rsidRDefault="005D10CA">
      <w:pPr>
        <w:spacing w:line="340" w:lineRule="exact"/>
        <w:jc w:val="both"/>
      </w:pPr>
      <w:r>
        <w:t>Таким образом, действия Заказчика, не надлежащим образом установившего требования к товару в пунктах 5, 8, 15, 17, 21 приложения № 2 к техническому заданию нарушают положения пункта 1 части 1 статьи 64 Закона о контрактной системе и содержат признаки состава административного правонарушения, ответственность за совершение которого предусмотрена частью 4.2 статьи 7.30 Кодекса Российской Федерации об административных правонарушениях.</w:t>
      </w:r>
    </w:p>
    <w:p w14:paraId="352DED6D" w14:textId="77777777" w:rsidR="005D10CA" w:rsidRDefault="005D10CA">
      <w:pPr>
        <w:spacing w:line="340" w:lineRule="exact"/>
        <w:jc w:val="both"/>
      </w:pPr>
      <w:r>
        <w:t>На основании изложенного и руководствуясь частью 1 статьи 2,             пунктом 1 части 15, пунктом 2 части 22 статьи 99, частью 8 статьи 106, частью 1 статьи 112 Закона о контрактной системе, Комиссия</w:t>
      </w:r>
    </w:p>
    <w:p w14:paraId="3DFA5088" w14:textId="77777777" w:rsidR="005D10CA" w:rsidRDefault="005D10CA">
      <w:pPr>
        <w:spacing w:line="340" w:lineRule="exact"/>
        <w:jc w:val="center"/>
      </w:pPr>
      <w:r>
        <w:t>РЕШИЛА:</w:t>
      </w:r>
    </w:p>
    <w:p w14:paraId="46F03464" w14:textId="77777777" w:rsidR="005D10CA" w:rsidRDefault="005D10CA">
      <w:pPr>
        <w:spacing w:before="0" w:line="3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</w:t>
      </w:r>
      <w:r>
        <w:rPr>
          <w:rFonts w:ascii="Times New Roman CYR" w:hAnsi="Times New Roman CYR" w:cs="Times New Roman CYR"/>
        </w:rPr>
        <w:tab/>
        <w:t>Признать жалобу ООО «Розтэра» обоснованной в части установления Заказчиком ненадлежащих требований к показателям товаров, используемых при выполнении работ.</w:t>
      </w:r>
    </w:p>
    <w:p w14:paraId="0816C902" w14:textId="77777777" w:rsidR="005D10CA" w:rsidRDefault="005D10CA">
      <w:pPr>
        <w:spacing w:before="0" w:line="3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</w:t>
      </w:r>
      <w:r>
        <w:rPr>
          <w:rFonts w:ascii="Times New Roman CYR" w:hAnsi="Times New Roman CYR" w:cs="Times New Roman CYR"/>
        </w:rPr>
        <w:tab/>
        <w:t xml:space="preserve">Признать в действиях Заказчика нарушение пункта 1 части 1 статьи 64 Закона о контрактной системе. </w:t>
      </w:r>
    </w:p>
    <w:p w14:paraId="6D29FBAF" w14:textId="77777777" w:rsidR="005D10CA" w:rsidRDefault="005D10CA">
      <w:pPr>
        <w:spacing w:before="0" w:line="3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ab/>
        <w:t>Выдать Заказчику, аукционной комиссии Заказчика предписание об устранении нарушений Закона о контрактной системе.</w:t>
      </w:r>
    </w:p>
    <w:p w14:paraId="7EA95DFC" w14:textId="77777777" w:rsidR="005D10CA" w:rsidRDefault="005D10CA">
      <w:pPr>
        <w:spacing w:before="0" w:line="3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</w:t>
      </w:r>
      <w:r>
        <w:rPr>
          <w:rFonts w:ascii="Times New Roman CYR" w:hAnsi="Times New Roman CYR" w:cs="Times New Roman CYR"/>
        </w:rPr>
        <w:tab/>
        <w:t>Передать материалы дела от 20.12.2014 № К–1822/14 по соответствующему должностному лицу Управления контроля размещения государственного заказа ФАС России для рассмотрения вопроса о возбуждении дела об административном правонарушении.</w:t>
      </w:r>
    </w:p>
    <w:p w14:paraId="42877EAA" w14:textId="77777777" w:rsidR="005D10CA" w:rsidRDefault="005D10CA">
      <w:pPr>
        <w:spacing w:before="0" w:line="340" w:lineRule="exact"/>
        <w:ind w:firstLine="720"/>
        <w:jc w:val="both"/>
        <w:rPr>
          <w:rFonts w:ascii="Times New Roman CYR" w:hAnsi="Times New Roman CYR" w:cs="Times New Roman CYR"/>
        </w:rPr>
      </w:pPr>
    </w:p>
    <w:p w14:paraId="63130BCF" w14:textId="77777777" w:rsidR="005D10CA" w:rsidRDefault="005D10CA">
      <w:pPr>
        <w:spacing w:before="0" w:line="340" w:lineRule="exact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14:paraId="6CB8EC0C" w14:textId="77777777" w:rsidR="005D10CA" w:rsidRDefault="005D10CA">
      <w:pPr>
        <w:spacing w:before="0" w:line="340" w:lineRule="exact"/>
        <w:ind w:firstLine="720"/>
        <w:jc w:val="both"/>
        <w:rPr>
          <w:rFonts w:ascii="Times New Roman CYR" w:hAnsi="Times New Roman CYR" w:cs="Times New Roman CYR"/>
        </w:rPr>
      </w:pPr>
    </w:p>
    <w:p w14:paraId="0D447F20" w14:textId="77777777" w:rsidR="005D10CA" w:rsidRDefault="005D10CA">
      <w:pPr>
        <w:spacing w:before="0"/>
        <w:ind w:firstLine="0"/>
        <w:rPr>
          <w:sz w:val="20"/>
          <w:szCs w:val="20"/>
        </w:rPr>
      </w:pPr>
    </w:p>
    <w:sectPr w:rsidR="005D10CA">
      <w:headerReference w:type="default" r:id="rId8"/>
      <w:pgSz w:w="11907" w:h="16389" w:code="9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40B7A" w14:textId="77777777" w:rsidR="009833DB" w:rsidRDefault="009833DB">
      <w:pPr>
        <w:spacing w:before="0"/>
      </w:pPr>
      <w:r>
        <w:separator/>
      </w:r>
    </w:p>
  </w:endnote>
  <w:endnote w:type="continuationSeparator" w:id="0">
    <w:p w14:paraId="7811750F" w14:textId="77777777" w:rsidR="009833DB" w:rsidRDefault="009833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D9E5B" w14:textId="77777777" w:rsidR="009833DB" w:rsidRDefault="009833DB">
      <w:pPr>
        <w:spacing w:before="0"/>
      </w:pPr>
      <w:r>
        <w:separator/>
      </w:r>
    </w:p>
  </w:footnote>
  <w:footnote w:type="continuationSeparator" w:id="0">
    <w:p w14:paraId="409B56C1" w14:textId="77777777" w:rsidR="009833DB" w:rsidRDefault="009833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8C509" w14:textId="77777777" w:rsidR="009833DB" w:rsidRDefault="009833DB">
    <w:pPr>
      <w:pStyle w:val="a5"/>
      <w:tabs>
        <w:tab w:val="center" w:pos="4677"/>
        <w:tab w:val="right" w:pos="9355"/>
      </w:tabs>
      <w:spacing w:before="120" w:after="192"/>
      <w:jc w:val="center"/>
      <w:rPr>
        <w:color w:val="auto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433EED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14:paraId="397BBB58" w14:textId="77777777" w:rsidR="009833DB" w:rsidRDefault="009833DB">
    <w:pPr>
      <w:pStyle w:val="a5"/>
      <w:tabs>
        <w:tab w:val="center" w:pos="4677"/>
        <w:tab w:val="right" w:pos="9355"/>
      </w:tabs>
      <w:spacing w:before="120" w:after="192"/>
      <w:rPr>
        <w:color w:val="auto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F086"/>
    <w:multiLevelType w:val="hybridMultilevel"/>
    <w:tmpl w:val="FFFFFFFF"/>
    <w:lvl w:ilvl="0" w:tplc="D1B6CEB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D1B6CEB4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D1B6CEB4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D1B6CEB4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D1B6CEB4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D1B6CEB4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D1B6CEB4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1">
    <w:nsid w:val="186E3B70"/>
    <w:multiLevelType w:val="hybridMultilevel"/>
    <w:tmpl w:val="FFFFFFFF"/>
    <w:lvl w:ilvl="0" w:tplc="D1B6CEB4">
      <w:start w:val="1"/>
      <w:numFmt w:val="decimal"/>
      <w:lvlText w:val="%1)"/>
      <w:lvlJc w:val="left"/>
      <w:pPr>
        <w:ind w:firstLine="426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2">
    <w:nsid w:val="1D9D873B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3">
    <w:nsid w:val="1F221DBE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4">
    <w:nsid w:val="22821313"/>
    <w:multiLevelType w:val="hybridMultilevel"/>
    <w:tmpl w:val="660A1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28D6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35" w:hanging="359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6">
    <w:nsid w:val="2C87BA68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7">
    <w:nsid w:val="2E8F5A29"/>
    <w:multiLevelType w:val="hybridMultilevel"/>
    <w:tmpl w:val="1E3E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563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3C217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9">
    <w:nsid w:val="3310243C"/>
    <w:multiLevelType w:val="hybridMultilevel"/>
    <w:tmpl w:val="FFFFFFFF"/>
    <w:lvl w:ilvl="0" w:tplc="D1B6CEB4">
      <w:start w:val="1"/>
      <w:numFmt w:val="decimal"/>
      <w:lvlText w:val="%1."/>
      <w:lvlJc w:val="left"/>
      <w:pPr>
        <w:ind w:left="79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32" w:hanging="168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52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72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92" w:hanging="168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12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32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52" w:hanging="168"/>
      </w:pPr>
      <w:rPr>
        <w:color w:val="000000"/>
      </w:rPr>
    </w:lvl>
  </w:abstractNum>
  <w:abstractNum w:abstractNumId="10">
    <w:nsid w:val="3C413D29"/>
    <w:multiLevelType w:val="hybridMultilevel"/>
    <w:tmpl w:val="32344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563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D189A"/>
    <w:multiLevelType w:val="hybridMultilevel"/>
    <w:tmpl w:val="F94A53E6"/>
    <w:lvl w:ilvl="0" w:tplc="EB56EB00">
      <w:start w:val="1"/>
      <w:numFmt w:val="bullet"/>
      <w:lvlText w:val="-"/>
      <w:lvlJc w:val="left"/>
      <w:pPr>
        <w:ind w:left="1080" w:hanging="360"/>
      </w:pPr>
      <w:rPr>
        <w:rFonts w:ascii="Cambria" w:eastAsia="ＭＳ 明朝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257D89"/>
    <w:multiLevelType w:val="hybridMultilevel"/>
    <w:tmpl w:val="9D5AF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563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961C2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14">
    <w:nsid w:val="449F438D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15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16">
    <w:nsid w:val="54211D01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17">
    <w:nsid w:val="56ECB071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18">
    <w:nsid w:val="57467C4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35" w:hanging="503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19">
    <w:nsid w:val="6ADE1431"/>
    <w:multiLevelType w:val="multilevel"/>
    <w:tmpl w:val="FFFFFFFF"/>
    <w:lvl w:ilvl="0">
      <w:start w:val="1"/>
      <w:numFmt w:val="decimal"/>
      <w:lvlText w:val="%1."/>
      <w:lvlJc w:val="left"/>
      <w:pPr>
        <w:ind w:left="360" w:firstLine="72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  <w:sz w:val="22"/>
        <w:szCs w:val="22"/>
      </w:rPr>
    </w:lvl>
  </w:abstractNum>
  <w:abstractNum w:abstractNumId="20">
    <w:nsid w:val="713D4A90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21">
    <w:nsid w:val="713F19D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  <w:sz w:val="22"/>
        <w:szCs w:val="22"/>
      </w:rPr>
    </w:lvl>
  </w:abstractNum>
  <w:abstractNum w:abstractNumId="22">
    <w:nsid w:val="7C8B311A"/>
    <w:multiLevelType w:val="hybridMultilevel"/>
    <w:tmpl w:val="E6E8F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563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31C33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20"/>
  </w:num>
  <w:num w:numId="7">
    <w:abstractNumId w:val="21"/>
  </w:num>
  <w:num w:numId="8">
    <w:abstractNumId w:val="19"/>
  </w:num>
  <w:num w:numId="9">
    <w:abstractNumId w:val="2"/>
  </w:num>
  <w:num w:numId="10">
    <w:abstractNumId w:val="8"/>
  </w:num>
  <w:num w:numId="11">
    <w:abstractNumId w:val="17"/>
  </w:num>
  <w:num w:numId="12">
    <w:abstractNumId w:val="23"/>
  </w:num>
  <w:num w:numId="13">
    <w:abstractNumId w:val="1"/>
  </w:num>
  <w:num w:numId="14">
    <w:abstractNumId w:val="16"/>
  </w:num>
  <w:num w:numId="15">
    <w:abstractNumId w:val="18"/>
  </w:num>
  <w:num w:numId="16">
    <w:abstractNumId w:val="13"/>
  </w:num>
  <w:num w:numId="17">
    <w:abstractNumId w:val="5"/>
  </w:num>
  <w:num w:numId="18">
    <w:abstractNumId w:val="6"/>
  </w:num>
  <w:num w:numId="19">
    <w:abstractNumId w:val="3"/>
  </w:num>
  <w:num w:numId="20">
    <w:abstractNumId w:val="15"/>
  </w:num>
  <w:num w:numId="21">
    <w:abstractNumId w:val="4"/>
  </w:num>
  <w:num w:numId="22">
    <w:abstractNumId w:val="11"/>
  </w:num>
  <w:num w:numId="23">
    <w:abstractNumId w:val="22"/>
  </w:num>
  <w:num w:numId="24">
    <w:abstractNumId w:val="10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6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CA"/>
    <w:rsid w:val="00433EED"/>
    <w:rsid w:val="005D10CA"/>
    <w:rsid w:val="009833DB"/>
    <w:rsid w:val="00C0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4443F6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20" w:after="0"/>
      <w:ind w:firstLine="849"/>
    </w:pPr>
    <w:rPr>
      <w:color w:val="000000"/>
      <w:sz w:val="28"/>
      <w:szCs w:val="28"/>
      <w:lang w:val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spacing w:before="0"/>
    </w:pPr>
    <w:rPr>
      <w:sz w:val="22"/>
      <w:szCs w:val="22"/>
    </w:rPr>
  </w:style>
  <w:style w:type="character" w:customStyle="1" w:styleId="lblinfoform1">
    <w:name w:val="lblinfoform1"/>
    <w:basedOn w:val="a0"/>
    <w:uiPriority w:val="99"/>
    <w:rPr>
      <w:rFonts w:ascii="Arial" w:hAnsi="Arial" w:cs="Arial"/>
      <w:b/>
      <w:bCs/>
      <w:color w:val="3E6D9C"/>
      <w:sz w:val="16"/>
      <w:szCs w:val="16"/>
    </w:rPr>
  </w:style>
  <w:style w:type="paragraph" w:styleId="a5">
    <w:name w:val="header"/>
    <w:basedOn w:val="a"/>
    <w:link w:val="a6"/>
    <w:uiPriority w:val="99"/>
    <w:pPr>
      <w:spacing w:before="0"/>
    </w:pPr>
    <w:rPr>
      <w:sz w:val="22"/>
      <w:szCs w:val="22"/>
    </w:rPr>
  </w:style>
  <w:style w:type="paragraph" w:styleId="a7">
    <w:name w:val="List Paragraph"/>
    <w:basedOn w:val="a"/>
    <w:uiPriority w:val="34"/>
    <w:qFormat/>
    <w:rsid w:val="005D10CA"/>
    <w:pPr>
      <w:widowControl/>
      <w:autoSpaceDE/>
      <w:autoSpaceDN/>
      <w:adjustRightInd/>
      <w:spacing w:before="0"/>
      <w:ind w:left="720" w:firstLine="0"/>
      <w:contextualSpacing/>
    </w:pPr>
    <w:rPr>
      <w:rFonts w:ascii="Cambria" w:eastAsia="ＭＳ 明朝" w:hAnsi="Cambria"/>
      <w:color w:val="auto"/>
      <w:sz w:val="24"/>
      <w:szCs w:val="24"/>
      <w:lang w:val="ru-RU"/>
    </w:rPr>
  </w:style>
  <w:style w:type="paragraph" w:customStyle="1" w:styleId="c7c7c7ededede0e0e0eaeaea">
    <w:name w:val="Зc7c7c7нedededаe0e0e0кeaeaea"/>
    <w:basedOn w:val="a"/>
    <w:uiPriority w:val="99"/>
    <w:pPr>
      <w:spacing w:before="0" w:after="144"/>
    </w:pPr>
    <w:rPr>
      <w:rFonts w:ascii="Verdana" w:hAnsi="Verdana" w:cs="Verdana"/>
      <w:sz w:val="20"/>
      <w:szCs w:val="20"/>
    </w:rPr>
  </w:style>
  <w:style w:type="paragraph" w:customStyle="1" w:styleId="cececee1e1e1fbfbfbf7f7f7edededfbfbfbe9e9e913efefeff2f2f2">
    <w:name w:val="Оcececeбe1e1e1ыfbfbfbчf7f7f7нedededыfbfbfbйe9e9e9 + 13 пefefefтf2f2f2"/>
    <w:basedOn w:val="a"/>
    <w:uiPriority w:val="99"/>
    <w:pPr>
      <w:spacing w:before="0"/>
      <w:ind w:left="5664"/>
    </w:pPr>
    <w:rPr>
      <w:sz w:val="22"/>
      <w:szCs w:val="22"/>
    </w:rPr>
  </w:style>
  <w:style w:type="paragraph" w:customStyle="1" w:styleId="cececef1f1f1edededeeeeeee2e2e2edededeeeeeee9e9e9f2f2f2e5e5e5eaeaeaf1f1f1f2f2f2f1f1f1eeeeeef2f2f2f1f1f1f2f2f2f3f3f3efefefeeeeeeececec21">
    <w:name w:val="Оcececeсf1f1f1нedededоeeeeeeвe2e2e2нedededоeeeeeeйe9e9e9 тf2f2f2еe5e5e5кeaeaeaсf1f1f1тf2f2f2 сf1f1f1 оeeeeeeтf2f2f2сf1f1f1тf2f2f2уf3f3f3пefefefоeeeeeeмececec 21"/>
    <w:basedOn w:val="a"/>
    <w:uiPriority w:val="99"/>
    <w:pPr>
      <w:spacing w:before="0"/>
      <w:ind w:firstLine="0"/>
      <w:jc w:val="both"/>
    </w:pPr>
    <w:rPr>
      <w:sz w:val="22"/>
      <w:szCs w:val="22"/>
    </w:rPr>
  </w:style>
  <w:style w:type="paragraph" w:customStyle="1" w:styleId="ConsPlusNormal">
    <w:name w:val="ConsPlusNormal"/>
    <w:basedOn w:val="a"/>
    <w:uiPriority w:val="99"/>
    <w:pPr>
      <w:spacing w:before="0"/>
    </w:pPr>
    <w:rPr>
      <w:rFonts w:ascii="Arial" w:hAnsi="Arial" w:cs="Arial"/>
      <w:sz w:val="20"/>
      <w:szCs w:val="20"/>
    </w:rPr>
  </w:style>
  <w:style w:type="character" w:customStyle="1" w:styleId="LineNumber">
    <w:name w:val="Line Number"/>
    <w:basedOn w:val="a0"/>
    <w:uiPriority w:val="99"/>
    <w:rPr>
      <w:color w:val="000000"/>
      <w:sz w:val="28"/>
      <w:szCs w:val="28"/>
    </w:rPr>
  </w:style>
  <w:style w:type="character" w:styleId="a8">
    <w:name w:val="Hyperlink"/>
    <w:basedOn w:val="a0"/>
    <w:uiPriority w:val="99"/>
    <w:rPr>
      <w:color w:val="0000FF"/>
      <w:sz w:val="28"/>
      <w:szCs w:val="28"/>
      <w:u w:val="single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Calibri" w:hAnsi="Calibri" w:cs="Calibri"/>
      <w:color w:val="000000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20" w:after="0"/>
      <w:ind w:firstLine="849"/>
    </w:pPr>
    <w:rPr>
      <w:color w:val="000000"/>
      <w:sz w:val="28"/>
      <w:szCs w:val="28"/>
      <w:lang w:val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spacing w:before="0"/>
    </w:pPr>
    <w:rPr>
      <w:sz w:val="22"/>
      <w:szCs w:val="22"/>
    </w:rPr>
  </w:style>
  <w:style w:type="character" w:customStyle="1" w:styleId="lblinfoform1">
    <w:name w:val="lblinfoform1"/>
    <w:basedOn w:val="a0"/>
    <w:uiPriority w:val="99"/>
    <w:rPr>
      <w:rFonts w:ascii="Arial" w:hAnsi="Arial" w:cs="Arial"/>
      <w:b/>
      <w:bCs/>
      <w:color w:val="3E6D9C"/>
      <w:sz w:val="16"/>
      <w:szCs w:val="16"/>
    </w:rPr>
  </w:style>
  <w:style w:type="paragraph" w:styleId="a5">
    <w:name w:val="header"/>
    <w:basedOn w:val="a"/>
    <w:link w:val="a6"/>
    <w:uiPriority w:val="99"/>
    <w:pPr>
      <w:spacing w:before="0"/>
    </w:pPr>
    <w:rPr>
      <w:sz w:val="22"/>
      <w:szCs w:val="22"/>
    </w:rPr>
  </w:style>
  <w:style w:type="paragraph" w:styleId="a7">
    <w:name w:val="List Paragraph"/>
    <w:basedOn w:val="a"/>
    <w:uiPriority w:val="34"/>
    <w:qFormat/>
    <w:rsid w:val="005D10CA"/>
    <w:pPr>
      <w:widowControl/>
      <w:autoSpaceDE/>
      <w:autoSpaceDN/>
      <w:adjustRightInd/>
      <w:spacing w:before="0"/>
      <w:ind w:left="720" w:firstLine="0"/>
      <w:contextualSpacing/>
    </w:pPr>
    <w:rPr>
      <w:rFonts w:ascii="Cambria" w:eastAsia="ＭＳ 明朝" w:hAnsi="Cambria"/>
      <w:color w:val="auto"/>
      <w:sz w:val="24"/>
      <w:szCs w:val="24"/>
      <w:lang w:val="ru-RU"/>
    </w:rPr>
  </w:style>
  <w:style w:type="paragraph" w:customStyle="1" w:styleId="c7c7c7ededede0e0e0eaeaea">
    <w:name w:val="Зc7c7c7нedededаe0e0e0кeaeaea"/>
    <w:basedOn w:val="a"/>
    <w:uiPriority w:val="99"/>
    <w:pPr>
      <w:spacing w:before="0" w:after="144"/>
    </w:pPr>
    <w:rPr>
      <w:rFonts w:ascii="Verdana" w:hAnsi="Verdana" w:cs="Verdana"/>
      <w:sz w:val="20"/>
      <w:szCs w:val="20"/>
    </w:rPr>
  </w:style>
  <w:style w:type="paragraph" w:customStyle="1" w:styleId="cececee1e1e1fbfbfbf7f7f7edededfbfbfbe9e9e913efefeff2f2f2">
    <w:name w:val="Оcececeбe1e1e1ыfbfbfbчf7f7f7нedededыfbfbfbйe9e9e9 + 13 пefefefтf2f2f2"/>
    <w:basedOn w:val="a"/>
    <w:uiPriority w:val="99"/>
    <w:pPr>
      <w:spacing w:before="0"/>
      <w:ind w:left="5664"/>
    </w:pPr>
    <w:rPr>
      <w:sz w:val="22"/>
      <w:szCs w:val="22"/>
    </w:rPr>
  </w:style>
  <w:style w:type="paragraph" w:customStyle="1" w:styleId="cececef1f1f1edededeeeeeee2e2e2edededeeeeeee9e9e9f2f2f2e5e5e5eaeaeaf1f1f1f2f2f2f1f1f1eeeeeef2f2f2f1f1f1f2f2f2f3f3f3efefefeeeeeeececec21">
    <w:name w:val="Оcececeсf1f1f1нedededоeeeeeeвe2e2e2нedededоeeeeeeйe9e9e9 тf2f2f2еe5e5e5кeaeaeaсf1f1f1тf2f2f2 сf1f1f1 оeeeeeeтf2f2f2сf1f1f1тf2f2f2уf3f3f3пefefefоeeeeeeмececec 21"/>
    <w:basedOn w:val="a"/>
    <w:uiPriority w:val="99"/>
    <w:pPr>
      <w:spacing w:before="0"/>
      <w:ind w:firstLine="0"/>
      <w:jc w:val="both"/>
    </w:pPr>
    <w:rPr>
      <w:sz w:val="22"/>
      <w:szCs w:val="22"/>
    </w:rPr>
  </w:style>
  <w:style w:type="paragraph" w:customStyle="1" w:styleId="ConsPlusNormal">
    <w:name w:val="ConsPlusNormal"/>
    <w:basedOn w:val="a"/>
    <w:uiPriority w:val="99"/>
    <w:pPr>
      <w:spacing w:before="0"/>
    </w:pPr>
    <w:rPr>
      <w:rFonts w:ascii="Arial" w:hAnsi="Arial" w:cs="Arial"/>
      <w:sz w:val="20"/>
      <w:szCs w:val="20"/>
    </w:rPr>
  </w:style>
  <w:style w:type="character" w:customStyle="1" w:styleId="LineNumber">
    <w:name w:val="Line Number"/>
    <w:basedOn w:val="a0"/>
    <w:uiPriority w:val="99"/>
    <w:rPr>
      <w:color w:val="000000"/>
      <w:sz w:val="28"/>
      <w:szCs w:val="28"/>
    </w:rPr>
  </w:style>
  <w:style w:type="character" w:styleId="a8">
    <w:name w:val="Hyperlink"/>
    <w:basedOn w:val="a0"/>
    <w:uiPriority w:val="99"/>
    <w:rPr>
      <w:color w:val="0000FF"/>
      <w:sz w:val="28"/>
      <w:szCs w:val="28"/>
      <w:u w:val="single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Calibri" w:hAnsi="Calibri" w:cs="Calibri"/>
      <w:color w:val="000000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2220</Words>
  <Characters>13900</Characters>
  <Application>Microsoft Macintosh Word</Application>
  <DocSecurity>0</DocSecurity>
  <Lines>375</Lines>
  <Paragraphs>164</Paragraphs>
  <ScaleCrop>false</ScaleCrop>
  <Company/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MCusers</dc:creator>
  <cp:keywords/>
  <dc:description/>
  <cp:lastModifiedBy>MCusers</cp:lastModifiedBy>
  <cp:revision>3</cp:revision>
  <dcterms:created xsi:type="dcterms:W3CDTF">2015-01-11T09:55:00Z</dcterms:created>
  <dcterms:modified xsi:type="dcterms:W3CDTF">2015-01-11T09:55:00Z</dcterms:modified>
</cp:coreProperties>
</file>