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17D90" w14:textId="77777777" w:rsidR="00000000" w:rsidRDefault="00436D42">
      <w:pPr>
        <w:spacing w:before="0" w:line="340" w:lineRule="exact"/>
        <w:ind w:left="5222" w:firstLine="0"/>
        <w:rPr>
          <w:rFonts w:ascii="Times New Roman CYR" w:hAnsi="Times New Roman CYR" w:cs="Times New Roman CYR"/>
          <w:sz w:val="28"/>
          <w:szCs w:val="28"/>
        </w:rPr>
      </w:pPr>
    </w:p>
    <w:p w14:paraId="215AF6C6" w14:textId="77777777" w:rsidR="002C04A3" w:rsidRDefault="002C04A3" w:rsidP="002C04A3">
      <w:pPr>
        <w:pStyle w:val="a5"/>
        <w:numPr>
          <w:ilvl w:val="0"/>
          <w:numId w:val="21"/>
        </w:numPr>
      </w:pPr>
      <w:r>
        <w:t>Номер закупки.</w:t>
      </w:r>
    </w:p>
    <w:p w14:paraId="39B9CE57" w14:textId="77777777" w:rsidR="002C04A3" w:rsidRDefault="002C04A3" w:rsidP="002C04A3">
      <w:pPr>
        <w:pStyle w:val="a5"/>
      </w:pPr>
      <w:r>
        <w:t xml:space="preserve">1.1. Текстовый запрос: </w:t>
      </w:r>
      <w:r w:rsidRPr="002C04A3">
        <w:t>0173100005514000046</w:t>
      </w:r>
    </w:p>
    <w:p w14:paraId="282DB33A" w14:textId="77777777" w:rsidR="002C04A3" w:rsidRDefault="002C04A3" w:rsidP="002C04A3">
      <w:pPr>
        <w:pStyle w:val="a5"/>
        <w:numPr>
          <w:ilvl w:val="0"/>
          <w:numId w:val="21"/>
        </w:numPr>
      </w:pPr>
      <w:r>
        <w:t>Способ закупки.</w:t>
      </w:r>
    </w:p>
    <w:p w14:paraId="7C4186D1" w14:textId="77777777" w:rsidR="002C04A3" w:rsidRPr="00944350" w:rsidRDefault="002C04A3" w:rsidP="002C04A3">
      <w:pPr>
        <w:pStyle w:val="a5"/>
        <w:numPr>
          <w:ilvl w:val="1"/>
          <w:numId w:val="23"/>
        </w:numPr>
        <w:rPr>
          <w:highlight w:val="yellow"/>
        </w:rPr>
      </w:pPr>
      <w:r w:rsidRPr="00944350">
        <w:rPr>
          <w:highlight w:val="yellow"/>
        </w:rPr>
        <w:t>Электронный аукцион</w:t>
      </w:r>
    </w:p>
    <w:p w14:paraId="78DDFC74" w14:textId="77777777" w:rsidR="002C04A3" w:rsidRDefault="002C04A3" w:rsidP="002C04A3">
      <w:pPr>
        <w:pStyle w:val="a5"/>
        <w:numPr>
          <w:ilvl w:val="1"/>
          <w:numId w:val="23"/>
        </w:numPr>
      </w:pPr>
      <w:r>
        <w:t>Открытый конкурс</w:t>
      </w:r>
    </w:p>
    <w:p w14:paraId="772AEA25" w14:textId="77777777" w:rsidR="002C04A3" w:rsidRPr="00944350" w:rsidRDefault="002C04A3" w:rsidP="002C04A3">
      <w:pPr>
        <w:pStyle w:val="a5"/>
        <w:numPr>
          <w:ilvl w:val="1"/>
          <w:numId w:val="23"/>
        </w:numPr>
      </w:pPr>
      <w:r w:rsidRPr="00944350">
        <w:t>Открытый конкурс с ограниченным участием</w:t>
      </w:r>
    </w:p>
    <w:p w14:paraId="44657EF5" w14:textId="77777777" w:rsidR="002C04A3" w:rsidRDefault="002C04A3" w:rsidP="002C04A3">
      <w:pPr>
        <w:pStyle w:val="a5"/>
        <w:numPr>
          <w:ilvl w:val="0"/>
          <w:numId w:val="21"/>
        </w:numPr>
      </w:pPr>
      <w:r>
        <w:t>Предмет закупки.</w:t>
      </w:r>
    </w:p>
    <w:p w14:paraId="04C45E0A" w14:textId="77777777" w:rsidR="002C04A3" w:rsidRPr="00436D42" w:rsidRDefault="002C04A3" w:rsidP="002C04A3">
      <w:pPr>
        <w:pStyle w:val="a5"/>
        <w:numPr>
          <w:ilvl w:val="1"/>
          <w:numId w:val="24"/>
        </w:numPr>
      </w:pPr>
      <w:r w:rsidRPr="00436D42">
        <w:t>Строительство</w:t>
      </w:r>
    </w:p>
    <w:p w14:paraId="7C5861B9" w14:textId="77777777" w:rsidR="002C04A3" w:rsidRDefault="002C04A3" w:rsidP="002C04A3">
      <w:pPr>
        <w:pStyle w:val="a5"/>
        <w:numPr>
          <w:ilvl w:val="1"/>
          <w:numId w:val="24"/>
        </w:numPr>
      </w:pPr>
      <w:r>
        <w:t>Медицина</w:t>
      </w:r>
    </w:p>
    <w:p w14:paraId="65A9E9F8" w14:textId="77777777" w:rsidR="002C04A3" w:rsidRPr="007F7AAB" w:rsidRDefault="002C04A3" w:rsidP="002C04A3">
      <w:pPr>
        <w:pStyle w:val="a5"/>
        <w:numPr>
          <w:ilvl w:val="1"/>
          <w:numId w:val="24"/>
        </w:numPr>
      </w:pPr>
      <w:r w:rsidRPr="007F7AAB">
        <w:t>Продукты питания</w:t>
      </w:r>
    </w:p>
    <w:p w14:paraId="4281C15C" w14:textId="77777777" w:rsidR="002C04A3" w:rsidRDefault="002C04A3" w:rsidP="002C04A3">
      <w:pPr>
        <w:pStyle w:val="a5"/>
        <w:numPr>
          <w:ilvl w:val="1"/>
          <w:numId w:val="24"/>
        </w:numPr>
      </w:pPr>
      <w:r>
        <w:t>Реставрация</w:t>
      </w:r>
    </w:p>
    <w:p w14:paraId="06E3C057" w14:textId="77777777" w:rsidR="002C04A3" w:rsidRPr="00436D42" w:rsidRDefault="002C04A3" w:rsidP="002C04A3">
      <w:pPr>
        <w:pStyle w:val="a5"/>
        <w:numPr>
          <w:ilvl w:val="1"/>
          <w:numId w:val="24"/>
        </w:numPr>
        <w:rPr>
          <w:highlight w:val="yellow"/>
        </w:rPr>
      </w:pPr>
      <w:r w:rsidRPr="00436D42">
        <w:rPr>
          <w:highlight w:val="yellow"/>
        </w:rPr>
        <w:t>Техническое обслуживание</w:t>
      </w:r>
    </w:p>
    <w:p w14:paraId="6A567BE1" w14:textId="77777777" w:rsidR="002C04A3" w:rsidRDefault="002C04A3" w:rsidP="002C04A3">
      <w:pPr>
        <w:pStyle w:val="a5"/>
        <w:numPr>
          <w:ilvl w:val="0"/>
          <w:numId w:val="21"/>
        </w:numPr>
      </w:pPr>
      <w:r>
        <w:t>Орган, рассматривающий жалобу.</w:t>
      </w:r>
    </w:p>
    <w:p w14:paraId="12DB625F" w14:textId="77777777" w:rsidR="002C04A3" w:rsidRPr="00491E37" w:rsidRDefault="002C04A3" w:rsidP="002C04A3">
      <w:pPr>
        <w:pStyle w:val="a5"/>
        <w:numPr>
          <w:ilvl w:val="1"/>
          <w:numId w:val="25"/>
        </w:numPr>
        <w:rPr>
          <w:highlight w:val="yellow"/>
        </w:rPr>
      </w:pPr>
      <w:r w:rsidRPr="00491E37">
        <w:rPr>
          <w:highlight w:val="yellow"/>
        </w:rPr>
        <w:t>ФАС России</w:t>
      </w:r>
    </w:p>
    <w:p w14:paraId="0559A51E" w14:textId="77777777" w:rsidR="002C04A3" w:rsidRPr="007F7AAB" w:rsidRDefault="002C04A3" w:rsidP="002C04A3">
      <w:pPr>
        <w:pStyle w:val="a5"/>
        <w:numPr>
          <w:ilvl w:val="1"/>
          <w:numId w:val="25"/>
        </w:numPr>
      </w:pPr>
      <w:r w:rsidRPr="007F7AAB">
        <w:t>Санкт-Петербургский УФАС</w:t>
      </w:r>
    </w:p>
    <w:p w14:paraId="5B2011C4" w14:textId="77777777" w:rsidR="002C04A3" w:rsidRPr="00491E37" w:rsidRDefault="002C04A3" w:rsidP="002C04A3">
      <w:pPr>
        <w:pStyle w:val="a5"/>
        <w:numPr>
          <w:ilvl w:val="1"/>
          <w:numId w:val="25"/>
        </w:numPr>
      </w:pPr>
      <w:r w:rsidRPr="00491E37">
        <w:t>Ленинградский УФАС</w:t>
      </w:r>
    </w:p>
    <w:p w14:paraId="785669EF" w14:textId="77777777" w:rsidR="002C04A3" w:rsidRDefault="002C04A3" w:rsidP="002C04A3">
      <w:pPr>
        <w:pStyle w:val="a5"/>
        <w:numPr>
          <w:ilvl w:val="0"/>
          <w:numId w:val="21"/>
        </w:numPr>
      </w:pPr>
      <w:r>
        <w:t>Содержание жалобы:</w:t>
      </w:r>
    </w:p>
    <w:p w14:paraId="262AFEF2" w14:textId="77777777" w:rsidR="002C04A3" w:rsidRDefault="002C04A3" w:rsidP="002C04A3">
      <w:pPr>
        <w:pStyle w:val="a5"/>
        <w:numPr>
          <w:ilvl w:val="1"/>
          <w:numId w:val="26"/>
        </w:numPr>
      </w:pPr>
      <w:r w:rsidRPr="00436D42">
        <w:t>описание объекта закупки</w:t>
      </w:r>
    </w:p>
    <w:p w14:paraId="5A834CF9" w14:textId="77777777" w:rsidR="00436D42" w:rsidRPr="00436D42" w:rsidRDefault="00436D42" w:rsidP="002C04A3">
      <w:pPr>
        <w:pStyle w:val="a5"/>
        <w:numPr>
          <w:ilvl w:val="1"/>
          <w:numId w:val="26"/>
        </w:numPr>
        <w:rPr>
          <w:highlight w:val="yellow"/>
        </w:rPr>
      </w:pPr>
      <w:r w:rsidRPr="00436D42">
        <w:rPr>
          <w:highlight w:val="yellow"/>
        </w:rPr>
        <w:t>инструкция по заполнению заявок</w:t>
      </w:r>
    </w:p>
    <w:p w14:paraId="7A2CDC19" w14:textId="77777777" w:rsidR="002C04A3" w:rsidRPr="007F7AAB" w:rsidRDefault="002C04A3" w:rsidP="002C04A3">
      <w:pPr>
        <w:pStyle w:val="a5"/>
        <w:numPr>
          <w:ilvl w:val="1"/>
          <w:numId w:val="26"/>
        </w:numPr>
      </w:pPr>
      <w:r w:rsidRPr="007F7AAB">
        <w:t>условия допуска к закупке</w:t>
      </w:r>
    </w:p>
    <w:p w14:paraId="26049DA6" w14:textId="77777777" w:rsidR="002C04A3" w:rsidRPr="007F7AAB" w:rsidRDefault="002C04A3" w:rsidP="002C04A3">
      <w:pPr>
        <w:pStyle w:val="a5"/>
        <w:numPr>
          <w:ilvl w:val="1"/>
          <w:numId w:val="26"/>
        </w:numPr>
      </w:pPr>
      <w:r w:rsidRPr="007F7AAB">
        <w:t>порядок оценки</w:t>
      </w:r>
    </w:p>
    <w:p w14:paraId="1A20B8CE" w14:textId="77777777" w:rsidR="002C04A3" w:rsidRPr="00436D42" w:rsidRDefault="002C04A3" w:rsidP="002C04A3">
      <w:pPr>
        <w:pStyle w:val="a5"/>
        <w:numPr>
          <w:ilvl w:val="1"/>
          <w:numId w:val="26"/>
        </w:numPr>
        <w:rPr>
          <w:highlight w:val="yellow"/>
        </w:rPr>
      </w:pPr>
      <w:r w:rsidRPr="00436D42">
        <w:rPr>
          <w:highlight w:val="yellow"/>
        </w:rPr>
        <w:t>отказ в допуске</w:t>
      </w:r>
    </w:p>
    <w:p w14:paraId="745E85F5" w14:textId="77777777" w:rsidR="002C04A3" w:rsidRDefault="002C04A3" w:rsidP="002C04A3">
      <w:pPr>
        <w:pStyle w:val="a5"/>
        <w:numPr>
          <w:ilvl w:val="1"/>
          <w:numId w:val="26"/>
        </w:numPr>
      </w:pPr>
      <w:r>
        <w:t>иное</w:t>
      </w:r>
    </w:p>
    <w:p w14:paraId="69460103" w14:textId="77777777" w:rsidR="002C04A3" w:rsidRDefault="002C04A3" w:rsidP="002C04A3">
      <w:pPr>
        <w:pStyle w:val="a5"/>
        <w:numPr>
          <w:ilvl w:val="0"/>
          <w:numId w:val="21"/>
        </w:numPr>
      </w:pPr>
      <w:r>
        <w:t xml:space="preserve">Результат рассмотрения жалоб: </w:t>
      </w:r>
    </w:p>
    <w:p w14:paraId="3DA1B76B" w14:textId="77777777" w:rsidR="002C04A3" w:rsidRPr="000F418C" w:rsidRDefault="002C04A3" w:rsidP="002C04A3">
      <w:pPr>
        <w:pStyle w:val="a5"/>
        <w:numPr>
          <w:ilvl w:val="0"/>
          <w:numId w:val="22"/>
        </w:numPr>
      </w:pPr>
      <w:r w:rsidRPr="000F418C">
        <w:t>необоснована</w:t>
      </w:r>
    </w:p>
    <w:p w14:paraId="000649DC" w14:textId="77777777" w:rsidR="002C04A3" w:rsidRPr="007F7AAB" w:rsidRDefault="002C04A3" w:rsidP="002C04A3">
      <w:pPr>
        <w:pStyle w:val="a5"/>
        <w:numPr>
          <w:ilvl w:val="0"/>
          <w:numId w:val="22"/>
        </w:numPr>
        <w:rPr>
          <w:highlight w:val="yellow"/>
        </w:rPr>
      </w:pPr>
      <w:r w:rsidRPr="007F7AAB">
        <w:rPr>
          <w:highlight w:val="yellow"/>
        </w:rPr>
        <w:t xml:space="preserve">обоснована </w:t>
      </w:r>
      <w:r>
        <w:rPr>
          <w:highlight w:val="yellow"/>
        </w:rPr>
        <w:t>или частично обоснована</w:t>
      </w:r>
    </w:p>
    <w:p w14:paraId="0C4C2310" w14:textId="77777777" w:rsidR="002C04A3" w:rsidRPr="00436D42" w:rsidRDefault="002C04A3" w:rsidP="002C04A3">
      <w:pPr>
        <w:pStyle w:val="a5"/>
        <w:numPr>
          <w:ilvl w:val="0"/>
          <w:numId w:val="22"/>
        </w:numPr>
      </w:pPr>
      <w:r w:rsidRPr="00436D42">
        <w:t>выдано предписание  о внесении изменений</w:t>
      </w:r>
    </w:p>
    <w:p w14:paraId="5FE9E1BF" w14:textId="77777777" w:rsidR="002C04A3" w:rsidRPr="00436D42" w:rsidRDefault="002C04A3" w:rsidP="002C04A3">
      <w:pPr>
        <w:pStyle w:val="a5"/>
        <w:numPr>
          <w:ilvl w:val="0"/>
          <w:numId w:val="22"/>
        </w:numPr>
        <w:rPr>
          <w:highlight w:val="yellow"/>
        </w:rPr>
      </w:pPr>
      <w:bookmarkStart w:id="0" w:name="_GoBack"/>
      <w:bookmarkEnd w:id="0"/>
      <w:r w:rsidRPr="00436D42">
        <w:rPr>
          <w:highlight w:val="yellow"/>
        </w:rPr>
        <w:t>выдано предписание о пересмотре заявок</w:t>
      </w:r>
    </w:p>
    <w:p w14:paraId="2A864814" w14:textId="77777777" w:rsidR="002C04A3" w:rsidRDefault="002C04A3" w:rsidP="002C04A3">
      <w:pPr>
        <w:pStyle w:val="a5"/>
        <w:numPr>
          <w:ilvl w:val="0"/>
          <w:numId w:val="22"/>
        </w:numPr>
      </w:pPr>
      <w:r>
        <w:t>выдано предписание о не учитывании незаконных положений</w:t>
      </w:r>
    </w:p>
    <w:p w14:paraId="7C87F9E8" w14:textId="77777777" w:rsidR="00000000" w:rsidRPr="002C04A3" w:rsidRDefault="002C04A3" w:rsidP="002C04A3">
      <w:pPr>
        <w:pStyle w:val="a5"/>
        <w:numPr>
          <w:ilvl w:val="0"/>
          <w:numId w:val="22"/>
        </w:numPr>
      </w:pPr>
      <w:r>
        <w:br w:type="page"/>
      </w:r>
    </w:p>
    <w:p w14:paraId="078B46E6" w14:textId="77777777" w:rsidR="00000000" w:rsidRDefault="00436D42">
      <w:pPr>
        <w:spacing w:before="0" w:line="340" w:lineRule="exact"/>
        <w:ind w:left="5222" w:firstLine="0"/>
        <w:rPr>
          <w:rFonts w:ascii="Times New Roman CYR" w:hAnsi="Times New Roman CYR" w:cs="Times New Roman CYR"/>
          <w:sz w:val="28"/>
          <w:szCs w:val="28"/>
        </w:rPr>
      </w:pPr>
    </w:p>
    <w:p w14:paraId="052BA4B9" w14:textId="77777777" w:rsidR="00000000" w:rsidRDefault="00436D42">
      <w:pPr>
        <w:spacing w:before="0" w:line="340" w:lineRule="exact"/>
        <w:ind w:left="5222"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«Сбербанк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АСТ»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765B0566" w14:textId="77777777" w:rsidR="00000000" w:rsidRDefault="00436D42">
      <w:pPr>
        <w:spacing w:before="0" w:line="340" w:lineRule="exact"/>
        <w:ind w:left="5222" w:firstLine="0"/>
        <w:rPr>
          <w:rFonts w:ascii="Times New Roman CYR" w:hAnsi="Times New Roman CYR" w:cs="Times New Roman CYR"/>
          <w:sz w:val="28"/>
          <w:szCs w:val="28"/>
        </w:rPr>
      </w:pPr>
    </w:p>
    <w:p w14:paraId="1CEB231A" w14:textId="77777777" w:rsidR="00000000" w:rsidRDefault="00436D42">
      <w:pPr>
        <w:spacing w:before="0" w:line="340" w:lineRule="exact"/>
        <w:ind w:left="5222"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Милютинский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 xml:space="preserve">. 10, 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>
        <w:rPr>
          <w:rFonts w:ascii="Times New Roman CYR" w:hAnsi="Times New Roman CYR" w:cs="Times New Roman CYR"/>
          <w:sz w:val="28"/>
          <w:szCs w:val="28"/>
        </w:rPr>
        <w:t xml:space="preserve">. 4, </w:t>
      </w:r>
      <w:r>
        <w:rPr>
          <w:rFonts w:ascii="Times New Roman CYR" w:hAnsi="Times New Roman CYR" w:cs="Times New Roman CYR"/>
          <w:sz w:val="28"/>
          <w:szCs w:val="28"/>
        </w:rPr>
        <w:t>Москва</w:t>
      </w:r>
      <w:r>
        <w:rPr>
          <w:rFonts w:ascii="Times New Roman CYR" w:hAnsi="Times New Roman CYR" w:cs="Times New Roman CYR"/>
          <w:sz w:val="28"/>
          <w:szCs w:val="28"/>
        </w:rPr>
        <w:t xml:space="preserve">, 101000 </w:t>
      </w:r>
    </w:p>
    <w:p w14:paraId="03AE5878" w14:textId="77777777" w:rsidR="00000000" w:rsidRDefault="00436D42">
      <w:pPr>
        <w:spacing w:before="0" w:line="340" w:lineRule="exact"/>
        <w:ind w:left="5222" w:firstLine="0"/>
        <w:rPr>
          <w:rFonts w:ascii="Times New Roman CYR" w:hAnsi="Times New Roman CYR" w:cs="Times New Roman CYR"/>
          <w:sz w:val="28"/>
          <w:szCs w:val="28"/>
        </w:rPr>
      </w:pPr>
    </w:p>
    <w:p w14:paraId="528493AA" w14:textId="77777777" w:rsidR="00000000" w:rsidRDefault="00436D42">
      <w:pPr>
        <w:spacing w:before="0" w:line="340" w:lineRule="exact"/>
        <w:ind w:left="5222"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Федеральная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служба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надзору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здравоохранения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4321B0B5" w14:textId="77777777" w:rsidR="00000000" w:rsidRDefault="00436D42">
      <w:pPr>
        <w:spacing w:before="0" w:line="340" w:lineRule="exact"/>
        <w:ind w:left="5222" w:firstLine="0"/>
        <w:rPr>
          <w:rFonts w:ascii="Times New Roman CYR" w:hAnsi="Times New Roman CYR" w:cs="Times New Roman CYR"/>
          <w:sz w:val="28"/>
          <w:szCs w:val="28"/>
        </w:rPr>
      </w:pPr>
    </w:p>
    <w:p w14:paraId="7E84E252" w14:textId="77777777" w:rsidR="00000000" w:rsidRDefault="00436D42">
      <w:pPr>
        <w:spacing w:before="0" w:line="340" w:lineRule="exact"/>
        <w:ind w:left="5222"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Единая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комиссия</w:t>
      </w:r>
    </w:p>
    <w:p w14:paraId="4AEB6A6F" w14:textId="77777777" w:rsidR="00000000" w:rsidRDefault="00436D42">
      <w:pPr>
        <w:spacing w:before="0" w:line="340" w:lineRule="exact"/>
        <w:ind w:left="5222" w:firstLine="0"/>
        <w:rPr>
          <w:rFonts w:ascii="Times New Roman CYR" w:hAnsi="Times New Roman CYR" w:cs="Times New Roman CYR"/>
          <w:sz w:val="28"/>
          <w:szCs w:val="28"/>
        </w:rPr>
      </w:pPr>
    </w:p>
    <w:p w14:paraId="445F0DE6" w14:textId="77777777" w:rsidR="00000000" w:rsidRDefault="00436D42">
      <w:pPr>
        <w:spacing w:before="0" w:line="340" w:lineRule="exact"/>
        <w:ind w:left="5222"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Славянская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 xml:space="preserve">. 4 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>
        <w:rPr>
          <w:rFonts w:ascii="Times New Roman CYR" w:hAnsi="Times New Roman CYR" w:cs="Times New Roman CYR"/>
          <w:sz w:val="28"/>
          <w:szCs w:val="28"/>
        </w:rPr>
        <w:t xml:space="preserve">. 1, </w:t>
      </w:r>
    </w:p>
    <w:p w14:paraId="0DA507C6" w14:textId="77777777" w:rsidR="00000000" w:rsidRDefault="00436D42">
      <w:pPr>
        <w:spacing w:before="0" w:line="340" w:lineRule="exact"/>
        <w:ind w:left="5222"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  <w:r>
        <w:rPr>
          <w:rFonts w:ascii="Times New Roman CYR" w:hAnsi="Times New Roman CYR" w:cs="Times New Roman CYR"/>
          <w:sz w:val="28"/>
          <w:szCs w:val="28"/>
        </w:rPr>
        <w:t>, 109074</w:t>
      </w:r>
    </w:p>
    <w:p w14:paraId="0F27FAE5" w14:textId="77777777" w:rsidR="00000000" w:rsidRDefault="00436D42">
      <w:pPr>
        <w:spacing w:before="0" w:line="340" w:lineRule="exact"/>
        <w:ind w:left="5222" w:firstLine="0"/>
        <w:rPr>
          <w:rFonts w:ascii="Times New Roman CYR" w:hAnsi="Times New Roman CYR" w:cs="Times New Roman CYR"/>
          <w:sz w:val="28"/>
          <w:szCs w:val="28"/>
        </w:rPr>
      </w:pPr>
    </w:p>
    <w:p w14:paraId="0BD0CD01" w14:textId="77777777" w:rsidR="00000000" w:rsidRDefault="00436D42">
      <w:pPr>
        <w:spacing w:before="0" w:line="340" w:lineRule="exact"/>
        <w:ind w:left="5222"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ФГБУ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«Управление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служебными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зданиями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материально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техническим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обеспечением»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защиты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</w:p>
    <w:p w14:paraId="64556079" w14:textId="77777777" w:rsidR="00000000" w:rsidRDefault="00436D42">
      <w:pPr>
        <w:spacing w:before="0" w:line="340" w:lineRule="exact"/>
        <w:ind w:left="5222" w:firstLine="0"/>
        <w:rPr>
          <w:rFonts w:ascii="Times New Roman CYR" w:hAnsi="Times New Roman CYR" w:cs="Times New Roman CYR"/>
          <w:sz w:val="28"/>
          <w:szCs w:val="28"/>
        </w:rPr>
      </w:pPr>
    </w:p>
    <w:p w14:paraId="3A62FC3E" w14:textId="77777777" w:rsidR="00000000" w:rsidRDefault="00436D42">
      <w:pPr>
        <w:spacing w:before="0" w:line="340" w:lineRule="exact"/>
        <w:ind w:left="5222"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Славянская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 xml:space="preserve">. 4, </w:t>
      </w:r>
      <w:r>
        <w:rPr>
          <w:rFonts w:ascii="Times New Roman CYR" w:hAnsi="Times New Roman CYR" w:cs="Times New Roman CYR"/>
          <w:sz w:val="28"/>
          <w:szCs w:val="28"/>
        </w:rPr>
        <w:t>стр</w:t>
      </w:r>
      <w:r>
        <w:rPr>
          <w:rFonts w:ascii="Times New Roman CYR" w:hAnsi="Times New Roman CYR" w:cs="Times New Roman CYR"/>
          <w:sz w:val="28"/>
          <w:szCs w:val="28"/>
        </w:rPr>
        <w:t xml:space="preserve">. 1, </w:t>
      </w:r>
    </w:p>
    <w:p w14:paraId="02739ACA" w14:textId="77777777" w:rsidR="00000000" w:rsidRDefault="00436D42">
      <w:pPr>
        <w:spacing w:before="0" w:line="340" w:lineRule="exact"/>
        <w:ind w:left="5222"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  <w:r>
        <w:rPr>
          <w:rFonts w:ascii="Times New Roman CYR" w:hAnsi="Times New Roman CYR" w:cs="Times New Roman CYR"/>
          <w:sz w:val="28"/>
          <w:szCs w:val="28"/>
        </w:rPr>
        <w:t>, 109074</w:t>
      </w:r>
    </w:p>
    <w:p w14:paraId="2805D6B4" w14:textId="77777777" w:rsidR="00000000" w:rsidRDefault="00436D42">
      <w:pPr>
        <w:spacing w:before="0" w:line="340" w:lineRule="exact"/>
        <w:ind w:left="5222" w:firstLine="0"/>
        <w:rPr>
          <w:rFonts w:ascii="Times New Roman CYR" w:hAnsi="Times New Roman CYR" w:cs="Times New Roman CYR"/>
          <w:sz w:val="28"/>
          <w:szCs w:val="28"/>
        </w:rPr>
      </w:pPr>
    </w:p>
    <w:p w14:paraId="030A8E64" w14:textId="77777777" w:rsidR="00000000" w:rsidRDefault="00436D42">
      <w:pPr>
        <w:rPr>
          <w:rFonts w:ascii="Times New Roman CYR" w:hAnsi="Times New Roman CYR" w:cs="Times New Roman CYR"/>
          <w:sz w:val="28"/>
          <w:szCs w:val="28"/>
        </w:rPr>
      </w:pPr>
    </w:p>
    <w:p w14:paraId="47053206" w14:textId="77777777" w:rsidR="00000000" w:rsidRDefault="00436D42">
      <w:pPr>
        <w:rPr>
          <w:rFonts w:ascii="Times New Roman CYR" w:hAnsi="Times New Roman CYR" w:cs="Times New Roman CYR"/>
          <w:sz w:val="28"/>
          <w:szCs w:val="28"/>
        </w:rPr>
      </w:pPr>
    </w:p>
    <w:p w14:paraId="2D5CE3A7" w14:textId="77777777" w:rsidR="00000000" w:rsidRDefault="00436D42">
      <w:pPr>
        <w:spacing w:before="0" w:line="340" w:lineRule="exact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</w:t>
      </w:r>
    </w:p>
    <w:p w14:paraId="5F96557B" w14:textId="77777777" w:rsidR="00000000" w:rsidRDefault="00436D42">
      <w:pPr>
        <w:spacing w:before="0" w:line="340" w:lineRule="exact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К–</w:t>
      </w:r>
      <w:r>
        <w:rPr>
          <w:rFonts w:ascii="Times New Roman CYR" w:hAnsi="Times New Roman CYR" w:cs="Times New Roman CYR"/>
          <w:sz w:val="28"/>
          <w:szCs w:val="28"/>
        </w:rPr>
        <w:t>1926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/14 </w:t>
      </w:r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</w:t>
      </w:r>
      <w:r>
        <w:rPr>
          <w:rFonts w:ascii="Times New Roman CYR" w:hAnsi="Times New Roman CYR" w:cs="Times New Roman CYR"/>
          <w:sz w:val="28"/>
          <w:szCs w:val="28"/>
        </w:rPr>
        <w:t>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255A4B64" w14:textId="77777777" w:rsidR="00000000" w:rsidRDefault="00436D42">
      <w:pPr>
        <w:spacing w:before="0" w:line="340" w:lineRule="exact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законодательства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140B10E6" w14:textId="77777777" w:rsidR="00000000" w:rsidRDefault="00436D42">
      <w:pPr>
        <w:spacing w:before="0" w:line="340" w:lineRule="exact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контрактной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сфере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закупок</w:t>
      </w:r>
    </w:p>
    <w:p w14:paraId="07940BAB" w14:textId="77777777" w:rsidR="00000000" w:rsidRDefault="00436D42">
      <w:pPr>
        <w:spacing w:before="0" w:line="340" w:lineRule="exact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2"/>
        <w:gridCol w:w="4627"/>
      </w:tblGrid>
      <w:tr w:rsidR="00000000" w14:paraId="3BF4EFC5" w14:textId="77777777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59056DE" w14:textId="77777777" w:rsidR="00000000" w:rsidRDefault="00436D42">
            <w:pPr>
              <w:spacing w:before="0" w:line="340" w:lineRule="exact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24.12.2014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D6161E2" w14:textId="77777777" w:rsidR="00000000" w:rsidRDefault="00436D42">
            <w:pPr>
              <w:spacing w:before="0" w:line="340" w:lineRule="exact"/>
              <w:ind w:right="-72" w:firstLine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Москва</w:t>
            </w:r>
          </w:p>
        </w:tc>
      </w:tr>
    </w:tbl>
    <w:p w14:paraId="3E9F3C26" w14:textId="77777777" w:rsidR="00000000" w:rsidRDefault="00436D42">
      <w:pPr>
        <w:spacing w:before="0" w:line="340" w:lineRule="exact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DD340A3" w14:textId="77777777" w:rsidR="00000000" w:rsidRDefault="00436D42">
      <w:pPr>
        <w:spacing w:before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антимонопольной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>
        <w:rPr>
          <w:sz w:val="28"/>
          <w:szCs w:val="28"/>
        </w:rPr>
        <w:t>:</w:t>
      </w:r>
    </w:p>
    <w:p w14:paraId="2C63AE51" w14:textId="77777777" w:rsidR="00000000" w:rsidRDefault="00436D42">
      <w:pPr>
        <w:spacing w:after="120" w:line="34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>рмотворчества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Нестеренко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.,</w:t>
      </w:r>
      <w:proofErr w:type="gramEnd"/>
    </w:p>
    <w:p w14:paraId="07233212" w14:textId="77777777" w:rsidR="00000000" w:rsidRDefault="00436D42">
      <w:pPr>
        <w:spacing w:before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14:paraId="6C448B71" w14:textId="77777777" w:rsidR="00000000" w:rsidRDefault="00436D42">
      <w:pPr>
        <w:spacing w:before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</w:t>
      </w:r>
      <w:r>
        <w:rPr>
          <w:sz w:val="28"/>
          <w:szCs w:val="28"/>
        </w:rPr>
        <w:t>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Шипуновой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</w:t>
      </w:r>
    </w:p>
    <w:p w14:paraId="1CA66304" w14:textId="77777777" w:rsidR="00000000" w:rsidRDefault="00436D42">
      <w:pPr>
        <w:spacing w:before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жалоб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Матаева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</w:t>
      </w:r>
    </w:p>
    <w:p w14:paraId="363158C3" w14:textId="77777777" w:rsidR="00000000" w:rsidRDefault="00436D42">
      <w:pPr>
        <w:spacing w:before="0" w:after="12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надзору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Захаровой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Ратина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.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ФГБУ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«Управление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техническим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обеспечением»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Чекмачева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>.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Шароватовой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.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Кондратьевой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ЗАО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«Сбербанк</w:t>
      </w:r>
      <w:r>
        <w:rPr>
          <w:sz w:val="28"/>
          <w:szCs w:val="28"/>
        </w:rPr>
        <w:t>-</w:t>
      </w:r>
      <w:r>
        <w:rPr>
          <w:sz w:val="28"/>
          <w:szCs w:val="28"/>
        </w:rPr>
        <w:t>АСТ»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явились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дате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надлежащим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sz w:val="28"/>
          <w:szCs w:val="28"/>
        </w:rPr>
        <w:t>,</w:t>
      </w:r>
    </w:p>
    <w:p w14:paraId="1E26EF2F" w14:textId="77777777" w:rsidR="00000000" w:rsidRDefault="00436D42">
      <w:pPr>
        <w:spacing w:before="0" w:after="12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жалобу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ФГБУ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«Управление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техническим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обеспечением»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Федеральной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надзору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Заказчик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Единая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ЗАО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«Сбербанк</w:t>
      </w:r>
      <w:r>
        <w:rPr>
          <w:sz w:val="28"/>
          <w:szCs w:val="28"/>
        </w:rPr>
        <w:t>-</w:t>
      </w:r>
      <w:r>
        <w:rPr>
          <w:sz w:val="28"/>
          <w:szCs w:val="28"/>
        </w:rPr>
        <w:t>АСТ»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зданий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адресу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Москва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Славянская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. 4 </w:t>
      </w:r>
      <w:r>
        <w:rPr>
          <w:sz w:val="28"/>
          <w:szCs w:val="28"/>
        </w:rPr>
        <w:t>стр</w:t>
      </w:r>
      <w:r>
        <w:rPr>
          <w:sz w:val="28"/>
          <w:szCs w:val="28"/>
        </w:rPr>
        <w:t xml:space="preserve">. 1, 3, 4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2015 </w:t>
      </w:r>
      <w:r>
        <w:rPr>
          <w:sz w:val="28"/>
          <w:szCs w:val="28"/>
        </w:rPr>
        <w:t>году</w:t>
      </w:r>
      <w:r>
        <w:rPr>
          <w:sz w:val="28"/>
          <w:szCs w:val="28"/>
        </w:rPr>
        <w:t xml:space="preserve">  (</w:t>
      </w:r>
      <w:r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извещения</w:t>
      </w:r>
      <w:r>
        <w:rPr>
          <w:sz w:val="28"/>
          <w:szCs w:val="28"/>
        </w:rPr>
        <w:t xml:space="preserve"> 0173100005514000046) (</w:t>
      </w:r>
      <w:r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</w:t>
      </w:r>
      <w:r>
        <w:rPr>
          <w:sz w:val="28"/>
          <w:szCs w:val="28"/>
        </w:rPr>
        <w:t>твления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внеплановой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15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99 </w:t>
      </w:r>
      <w:r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05.04.2013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44-</w:t>
      </w:r>
      <w:r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работ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нужд»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</w:t>
      </w:r>
      <w:r>
        <w:rPr>
          <w:sz w:val="28"/>
          <w:szCs w:val="28"/>
        </w:rPr>
        <w:t>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>),</w:t>
      </w:r>
    </w:p>
    <w:p w14:paraId="56B29658" w14:textId="77777777" w:rsidR="00000000" w:rsidRDefault="00436D42">
      <w:pPr>
        <w:spacing w:before="200" w:after="200" w:line="3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УСТАНОВИЛА</w:t>
      </w:r>
      <w:r>
        <w:rPr>
          <w:sz w:val="28"/>
          <w:szCs w:val="28"/>
        </w:rPr>
        <w:t>:</w:t>
      </w:r>
    </w:p>
    <w:p w14:paraId="1C3E979F" w14:textId="77777777" w:rsidR="00000000" w:rsidRDefault="00436D42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антимонопольную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службу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Аукциона</w:t>
      </w:r>
      <w:proofErr w:type="gramEnd"/>
      <w:r>
        <w:rPr>
          <w:sz w:val="28"/>
          <w:szCs w:val="28"/>
        </w:rPr>
        <w:t>.</w:t>
      </w:r>
    </w:p>
    <w:p w14:paraId="284B6696" w14:textId="77777777" w:rsidR="00000000" w:rsidRDefault="00436D42">
      <w:pPr>
        <w:spacing w:line="3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</w:t>
      </w:r>
      <w:r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принявшей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необоснованное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>.</w:t>
      </w:r>
      <w:proofErr w:type="gramEnd"/>
    </w:p>
    <w:p w14:paraId="6FAB4854" w14:textId="77777777" w:rsidR="00000000" w:rsidRDefault="00436D42">
      <w:pPr>
        <w:spacing w:line="3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согласился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доводами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сообщил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действовал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</w:t>
      </w:r>
      <w:r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>.</w:t>
      </w:r>
      <w:proofErr w:type="gramEnd"/>
    </w:p>
    <w:p w14:paraId="1902B56E" w14:textId="77777777" w:rsidR="00000000" w:rsidRDefault="00436D42">
      <w:pPr>
        <w:tabs>
          <w:tab w:val="left" w:pos="902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15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99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внеплановой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</w:t>
      </w:r>
      <w:r>
        <w:rPr>
          <w:sz w:val="28"/>
          <w:szCs w:val="28"/>
        </w:rPr>
        <w:t>.</w:t>
      </w:r>
    </w:p>
    <w:p w14:paraId="17F6FAA1" w14:textId="77777777" w:rsidR="00000000" w:rsidRDefault="00436D42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документацией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протоколами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составленными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подрядчика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исполнителя</w:t>
      </w:r>
      <w:r>
        <w:rPr>
          <w:sz w:val="28"/>
          <w:szCs w:val="28"/>
        </w:rPr>
        <w:t>):</w:t>
      </w:r>
    </w:p>
    <w:p w14:paraId="78F9B8C5" w14:textId="77777777" w:rsidR="00000000" w:rsidRDefault="00436D42">
      <w:pPr>
        <w:numPr>
          <w:ilvl w:val="0"/>
          <w:numId w:val="20"/>
        </w:numPr>
        <w:tabs>
          <w:tab w:val="left" w:pos="902"/>
        </w:tabs>
        <w:spacing w:before="0" w:line="340" w:lineRule="exact"/>
        <w:ind w:left="0" w:firstLine="849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разм</w:t>
      </w:r>
      <w:r>
        <w:rPr>
          <w:sz w:val="28"/>
          <w:szCs w:val="28"/>
        </w:rPr>
        <w:t>ещения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z w:val="28"/>
          <w:szCs w:val="28"/>
        </w:rPr>
        <w:t xml:space="preserve"> www.zakupki.gov.ru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28.11.2014;</w:t>
      </w:r>
    </w:p>
    <w:p w14:paraId="1F3245F2" w14:textId="77777777" w:rsidR="00000000" w:rsidRDefault="00436D42">
      <w:pPr>
        <w:numPr>
          <w:ilvl w:val="0"/>
          <w:numId w:val="20"/>
        </w:numPr>
        <w:tabs>
          <w:tab w:val="left" w:pos="902"/>
        </w:tabs>
        <w:spacing w:before="0" w:line="340" w:lineRule="exact"/>
        <w:ind w:left="0" w:firstLine="849"/>
        <w:jc w:val="both"/>
        <w:rPr>
          <w:sz w:val="28"/>
          <w:szCs w:val="28"/>
        </w:rPr>
      </w:pPr>
      <w:r>
        <w:rPr>
          <w:sz w:val="28"/>
          <w:szCs w:val="28"/>
        </w:rPr>
        <w:t>начальная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максимальная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цена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41 570 </w:t>
      </w:r>
      <w:proofErr w:type="gramStart"/>
      <w:r>
        <w:rPr>
          <w:sz w:val="28"/>
          <w:szCs w:val="28"/>
        </w:rPr>
        <w:t xml:space="preserve">504,94  </w:t>
      </w:r>
      <w:r>
        <w:rPr>
          <w:sz w:val="28"/>
          <w:szCs w:val="28"/>
        </w:rPr>
        <w:t>рубля</w:t>
      </w:r>
      <w:proofErr w:type="gramEnd"/>
      <w:r>
        <w:rPr>
          <w:sz w:val="28"/>
          <w:szCs w:val="28"/>
        </w:rPr>
        <w:t>;</w:t>
      </w:r>
    </w:p>
    <w:p w14:paraId="66B20970" w14:textId="77777777" w:rsidR="00000000" w:rsidRDefault="00436D42">
      <w:pPr>
        <w:numPr>
          <w:ilvl w:val="0"/>
          <w:numId w:val="20"/>
        </w:numPr>
        <w:tabs>
          <w:tab w:val="left" w:pos="902"/>
        </w:tabs>
        <w:spacing w:before="0" w:line="340" w:lineRule="exact"/>
        <w:ind w:left="0" w:firstLine="84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подано</w:t>
      </w:r>
      <w:r>
        <w:rPr>
          <w:sz w:val="28"/>
          <w:szCs w:val="28"/>
        </w:rPr>
        <w:t xml:space="preserve"> 6 </w:t>
      </w:r>
      <w:r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>;</w:t>
      </w:r>
    </w:p>
    <w:p w14:paraId="5720F430" w14:textId="77777777" w:rsidR="00000000" w:rsidRDefault="00436D42">
      <w:pPr>
        <w:numPr>
          <w:ilvl w:val="0"/>
          <w:numId w:val="20"/>
        </w:numPr>
        <w:tabs>
          <w:tab w:val="left" w:pos="902"/>
        </w:tabs>
        <w:spacing w:before="0" w:line="340" w:lineRule="exact"/>
        <w:ind w:left="0" w:firstLine="84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допущено</w:t>
      </w:r>
      <w:r>
        <w:rPr>
          <w:sz w:val="28"/>
          <w:szCs w:val="28"/>
        </w:rPr>
        <w:t xml:space="preserve"> 2 </w:t>
      </w:r>
      <w:r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>;</w:t>
      </w:r>
    </w:p>
    <w:p w14:paraId="2644C1DC" w14:textId="77777777" w:rsidR="00000000" w:rsidRDefault="00436D42">
      <w:pPr>
        <w:numPr>
          <w:ilvl w:val="0"/>
          <w:numId w:val="20"/>
        </w:numPr>
        <w:tabs>
          <w:tab w:val="left" w:pos="902"/>
        </w:tabs>
        <w:spacing w:before="0" w:line="340" w:lineRule="exact"/>
        <w:ind w:left="0" w:firstLine="84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19.12.2014;</w:t>
      </w:r>
    </w:p>
    <w:p w14:paraId="36CDE865" w14:textId="77777777" w:rsidR="00000000" w:rsidRDefault="00436D42">
      <w:pPr>
        <w:numPr>
          <w:ilvl w:val="0"/>
          <w:numId w:val="20"/>
        </w:numPr>
        <w:tabs>
          <w:tab w:val="left" w:pos="902"/>
        </w:tabs>
        <w:spacing w:before="0" w:line="340" w:lineRule="exact"/>
        <w:ind w:left="0" w:firstLine="84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подавали</w:t>
      </w:r>
      <w:r>
        <w:rPr>
          <w:sz w:val="28"/>
          <w:szCs w:val="28"/>
        </w:rPr>
        <w:t xml:space="preserve"> 2 </w:t>
      </w:r>
      <w:r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>
        <w:rPr>
          <w:sz w:val="28"/>
          <w:szCs w:val="28"/>
        </w:rPr>
        <w:t>;</w:t>
      </w:r>
    </w:p>
    <w:p w14:paraId="14592B82" w14:textId="77777777" w:rsidR="00000000" w:rsidRDefault="00436D42">
      <w:pPr>
        <w:numPr>
          <w:ilvl w:val="0"/>
          <w:numId w:val="20"/>
        </w:numPr>
        <w:tabs>
          <w:tab w:val="left" w:pos="902"/>
        </w:tabs>
        <w:spacing w:before="0" w:after="120" w:line="340" w:lineRule="exact"/>
        <w:ind w:left="0" w:firstLine="84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«ПЧЕЛЫ»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минимальным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</w:t>
      </w:r>
      <w:r>
        <w:rPr>
          <w:sz w:val="28"/>
          <w:szCs w:val="28"/>
        </w:rPr>
        <w:t>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41 088 385,48 </w:t>
      </w:r>
      <w:r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14:paraId="3BE6D246" w14:textId="77777777" w:rsidR="00000000" w:rsidRDefault="00436D42">
      <w:pPr>
        <w:tabs>
          <w:tab w:val="left" w:pos="360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67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3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66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закупаемых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работ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услуг</w:t>
      </w:r>
      <w:r>
        <w:rPr>
          <w:sz w:val="28"/>
          <w:szCs w:val="28"/>
        </w:rPr>
        <w:t>.</w:t>
      </w:r>
    </w:p>
    <w:p w14:paraId="211D9C2D" w14:textId="77777777" w:rsidR="00000000" w:rsidRDefault="00436D42">
      <w:pPr>
        <w:tabs>
          <w:tab w:val="left" w:pos="360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4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67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</w:t>
      </w:r>
      <w:r>
        <w:rPr>
          <w:sz w:val="28"/>
          <w:szCs w:val="28"/>
        </w:rPr>
        <w:t>стию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:                                                         1</w:t>
      </w:r>
      <w:proofErr w:type="gram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непредоставления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3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66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недостоверной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; 2) </w:t>
      </w:r>
      <w:r>
        <w:rPr>
          <w:sz w:val="28"/>
          <w:szCs w:val="28"/>
        </w:rPr>
        <w:t>несоответствия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</w:t>
      </w:r>
      <w:r>
        <w:rPr>
          <w:sz w:val="28"/>
          <w:szCs w:val="28"/>
        </w:rPr>
        <w:t>отренной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3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66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>.</w:t>
      </w:r>
    </w:p>
    <w:p w14:paraId="07FD2E89" w14:textId="77777777" w:rsidR="00000000" w:rsidRDefault="00436D42">
      <w:pPr>
        <w:tabs>
          <w:tab w:val="left" w:pos="360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«б»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3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3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66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2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3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66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>ответствующие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знак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словесное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обозначение</w:t>
      </w:r>
      <w:r>
        <w:rPr>
          <w:sz w:val="28"/>
          <w:szCs w:val="28"/>
        </w:rPr>
        <w:t>) (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знак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фирменное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патенты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полезные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промышленные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образцы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знак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фирменное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патенты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полезные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промышленные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образцы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товара</w:t>
      </w:r>
      <w:r>
        <w:rPr>
          <w:sz w:val="28"/>
          <w:szCs w:val="28"/>
        </w:rPr>
        <w:t>.</w:t>
      </w:r>
    </w:p>
    <w:p w14:paraId="16EEFC7D" w14:textId="77777777" w:rsidR="00000000" w:rsidRDefault="00436D42">
      <w:pPr>
        <w:tabs>
          <w:tab w:val="left" w:pos="360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16.12.2014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0173100005514000046-1 (</w:t>
      </w:r>
      <w:r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участнику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защищенным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9398090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отказано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1, 2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4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67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«бумажное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полотенце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pH</w:t>
      </w:r>
      <w:r>
        <w:rPr>
          <w:sz w:val="28"/>
          <w:szCs w:val="28"/>
        </w:rPr>
        <w:t>х</w:t>
      </w:r>
      <w:r>
        <w:rPr>
          <w:sz w:val="28"/>
          <w:szCs w:val="28"/>
        </w:rPr>
        <w:t>.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вытяжки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диапазоне</w:t>
      </w:r>
      <w:r>
        <w:rPr>
          <w:sz w:val="28"/>
          <w:szCs w:val="28"/>
        </w:rPr>
        <w:t xml:space="preserve"> 4,5-7,5 </w:t>
      </w:r>
      <w:r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 52354-2005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многослойных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полотенец»</w:t>
      </w:r>
      <w:r>
        <w:rPr>
          <w:sz w:val="28"/>
          <w:szCs w:val="28"/>
        </w:rPr>
        <w:t>.</w:t>
      </w:r>
    </w:p>
    <w:p w14:paraId="6958FC28" w14:textId="77777777" w:rsidR="00000000" w:rsidRDefault="00436D42">
      <w:pPr>
        <w:tabs>
          <w:tab w:val="left" w:pos="360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9.24 </w:t>
      </w:r>
      <w:r>
        <w:rPr>
          <w:sz w:val="28"/>
          <w:szCs w:val="28"/>
        </w:rPr>
        <w:t>«Общие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материалам»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бумажному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полотенцу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>
        <w:rPr>
          <w:sz w:val="28"/>
          <w:szCs w:val="28"/>
        </w:rPr>
        <w:t>pH</w:t>
      </w:r>
      <w:r>
        <w:rPr>
          <w:sz w:val="28"/>
          <w:szCs w:val="28"/>
        </w:rPr>
        <w:t>х</w:t>
      </w:r>
      <w:r>
        <w:rPr>
          <w:sz w:val="28"/>
          <w:szCs w:val="28"/>
        </w:rPr>
        <w:t>.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вытяжки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диапазоне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4,5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8,8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5CE85F1" w14:textId="77777777" w:rsidR="00000000" w:rsidRDefault="00436D42">
      <w:pPr>
        <w:tabs>
          <w:tab w:val="left" w:pos="360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Таблицей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>ГОСТа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 52354-2005 </w:t>
      </w:r>
      <w:r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бумажному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полотенцу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>
        <w:rPr>
          <w:sz w:val="28"/>
          <w:szCs w:val="28"/>
        </w:rPr>
        <w:t>pH</w:t>
      </w:r>
      <w:r>
        <w:rPr>
          <w:sz w:val="28"/>
          <w:szCs w:val="28"/>
        </w:rPr>
        <w:t>х</w:t>
      </w:r>
      <w:r>
        <w:rPr>
          <w:sz w:val="28"/>
          <w:szCs w:val="28"/>
        </w:rPr>
        <w:t>.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z w:val="28"/>
          <w:szCs w:val="28"/>
        </w:rPr>
        <w:t>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вытяжки</w:t>
      </w:r>
      <w:r>
        <w:rPr>
          <w:sz w:val="28"/>
          <w:szCs w:val="28"/>
        </w:rPr>
        <w:t xml:space="preserve"> 4,5-8,8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EF5283F" w14:textId="77777777" w:rsidR="00000000" w:rsidRDefault="00436D42">
      <w:pPr>
        <w:tabs>
          <w:tab w:val="left" w:pos="360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Изучив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установила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>
        <w:rPr>
          <w:sz w:val="28"/>
          <w:szCs w:val="28"/>
        </w:rPr>
        <w:t>pH</w:t>
      </w:r>
      <w:r>
        <w:rPr>
          <w:sz w:val="28"/>
          <w:szCs w:val="28"/>
        </w:rPr>
        <w:t>х</w:t>
      </w:r>
      <w:r>
        <w:rPr>
          <w:sz w:val="28"/>
          <w:szCs w:val="28"/>
        </w:rPr>
        <w:t>.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вытяжки</w:t>
      </w:r>
      <w:r>
        <w:rPr>
          <w:sz w:val="28"/>
          <w:szCs w:val="28"/>
        </w:rPr>
        <w:t xml:space="preserve"> 4,5-7,5 </w:t>
      </w:r>
      <w:r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 52354-2005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многос</w:t>
      </w:r>
      <w:r>
        <w:rPr>
          <w:sz w:val="28"/>
          <w:szCs w:val="28"/>
        </w:rPr>
        <w:t>лойных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полотенец»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9.24 </w:t>
      </w:r>
      <w:r>
        <w:rPr>
          <w:sz w:val="28"/>
          <w:szCs w:val="28"/>
        </w:rPr>
        <w:t>«Общие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материалам</w:t>
      </w:r>
      <w:proofErr w:type="gramStart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>.</w:t>
      </w:r>
    </w:p>
    <w:p w14:paraId="0E15CD7C" w14:textId="77777777" w:rsidR="00000000" w:rsidRDefault="00436D42">
      <w:pPr>
        <w:tabs>
          <w:tab w:val="left" w:pos="360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принявшей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</w:t>
      </w:r>
      <w:r>
        <w:rPr>
          <w:sz w:val="28"/>
          <w:szCs w:val="28"/>
        </w:rPr>
        <w:t>ционе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нарушают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65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2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7.30 </w:t>
      </w:r>
      <w:r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правонарушениях</w:t>
      </w:r>
      <w:r>
        <w:rPr>
          <w:sz w:val="28"/>
          <w:szCs w:val="28"/>
        </w:rPr>
        <w:t>.</w:t>
      </w:r>
    </w:p>
    <w:p w14:paraId="7578C44B" w14:textId="77777777" w:rsidR="00000000" w:rsidRDefault="00436D42">
      <w:pPr>
        <w:tabs>
          <w:tab w:val="left" w:pos="360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2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64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частями</w:t>
      </w:r>
      <w:r>
        <w:rPr>
          <w:sz w:val="28"/>
          <w:szCs w:val="28"/>
        </w:rPr>
        <w:t xml:space="preserve"> 3 - 6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66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</w:t>
      </w:r>
      <w:r>
        <w:rPr>
          <w:sz w:val="28"/>
          <w:szCs w:val="28"/>
        </w:rPr>
        <w:t>олнению</w:t>
      </w:r>
      <w:r>
        <w:rPr>
          <w:sz w:val="28"/>
          <w:szCs w:val="28"/>
        </w:rPr>
        <w:t>.</w:t>
      </w:r>
    </w:p>
    <w:p w14:paraId="350F5E91" w14:textId="77777777" w:rsidR="00000000" w:rsidRDefault="00436D42">
      <w:pPr>
        <w:tabs>
          <w:tab w:val="left" w:pos="360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9.24 </w:t>
      </w:r>
      <w:r>
        <w:rPr>
          <w:sz w:val="28"/>
          <w:szCs w:val="28"/>
        </w:rPr>
        <w:t>«Общие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материалам»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«Используемые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сертификаты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Контракту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Серт</w:t>
      </w:r>
      <w:r>
        <w:rPr>
          <w:sz w:val="28"/>
          <w:szCs w:val="28"/>
        </w:rPr>
        <w:t>ификат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ГОСТ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Санитарно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гигиенический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сертификат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Сертификат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Используемые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ГОСТ</w:t>
      </w:r>
      <w:r>
        <w:rPr>
          <w:sz w:val="28"/>
          <w:szCs w:val="28"/>
        </w:rPr>
        <w:t xml:space="preserve"> 28546-2002, </w:t>
      </w:r>
      <w:r>
        <w:rPr>
          <w:sz w:val="28"/>
          <w:szCs w:val="28"/>
        </w:rPr>
        <w:t>ГОСТ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 52354-2005, </w:t>
      </w:r>
      <w:r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антиаллергенными»</w:t>
      </w:r>
      <w:r>
        <w:rPr>
          <w:sz w:val="28"/>
          <w:szCs w:val="28"/>
        </w:rPr>
        <w:t>.</w:t>
      </w:r>
      <w:proofErr w:type="gramEnd"/>
    </w:p>
    <w:p w14:paraId="29ABBB1E" w14:textId="77777777" w:rsidR="00000000" w:rsidRDefault="00436D42">
      <w:pPr>
        <w:tabs>
          <w:tab w:val="left" w:pos="360"/>
        </w:tabs>
        <w:spacing w:line="3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Вышеуказанный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надлежащим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потребностям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участникам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сопоставлять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>.</w:t>
      </w:r>
      <w:proofErr w:type="gramEnd"/>
    </w:p>
    <w:p w14:paraId="3C362A97" w14:textId="77777777" w:rsidR="00000000" w:rsidRDefault="00436D42">
      <w:pPr>
        <w:tabs>
          <w:tab w:val="left" w:pos="360"/>
        </w:tabs>
        <w:spacing w:line="3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выводу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указывающих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14:paraId="050CC1A5" w14:textId="77777777" w:rsidR="00000000" w:rsidRDefault="00436D42">
      <w:pPr>
        <w:tabs>
          <w:tab w:val="left" w:pos="360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надлежащей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</w:t>
      </w:r>
      <w:r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2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64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4.2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7.30 </w:t>
      </w:r>
      <w:r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</w:t>
      </w:r>
      <w:r>
        <w:rPr>
          <w:sz w:val="28"/>
          <w:szCs w:val="28"/>
        </w:rPr>
        <w:t>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правонарушениях</w:t>
      </w:r>
      <w:r>
        <w:rPr>
          <w:sz w:val="28"/>
          <w:szCs w:val="28"/>
        </w:rPr>
        <w:t>.</w:t>
      </w:r>
    </w:p>
    <w:p w14:paraId="556D81CD" w14:textId="77777777" w:rsidR="00000000" w:rsidRDefault="00436D42">
      <w:pPr>
        <w:tabs>
          <w:tab w:val="left" w:pos="360"/>
        </w:tabs>
        <w:spacing w:line="3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инструкция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z w:val="28"/>
          <w:szCs w:val="28"/>
        </w:rPr>
        <w:t>.</w:t>
      </w:r>
      <w:proofErr w:type="gramEnd"/>
    </w:p>
    <w:p w14:paraId="65196B6A" w14:textId="77777777" w:rsidR="00000000" w:rsidRDefault="00436D42">
      <w:pPr>
        <w:tabs>
          <w:tab w:val="left" w:pos="360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защищен</w:t>
      </w:r>
      <w:r>
        <w:rPr>
          <w:sz w:val="28"/>
          <w:szCs w:val="28"/>
        </w:rPr>
        <w:t>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9398090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>
        <w:rPr>
          <w:sz w:val="28"/>
          <w:szCs w:val="28"/>
        </w:rPr>
        <w:t>1885625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>
        <w:rPr>
          <w:sz w:val="28"/>
          <w:szCs w:val="28"/>
        </w:rPr>
        <w:t>1460493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>
        <w:rPr>
          <w:sz w:val="28"/>
          <w:szCs w:val="28"/>
        </w:rPr>
        <w:t>1670021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1, 2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4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67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</w:t>
      </w:r>
      <w:r>
        <w:rPr>
          <w:sz w:val="28"/>
          <w:szCs w:val="28"/>
        </w:rPr>
        <w:t>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ГОСТ</w:t>
      </w:r>
      <w:r>
        <w:rPr>
          <w:sz w:val="28"/>
          <w:szCs w:val="28"/>
        </w:rPr>
        <w:t xml:space="preserve"> 28546-2002, </w:t>
      </w:r>
      <w:r>
        <w:rPr>
          <w:sz w:val="28"/>
          <w:szCs w:val="28"/>
        </w:rPr>
        <w:t>ГОСТ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 52354-2005.</w:t>
      </w:r>
    </w:p>
    <w:p w14:paraId="1B3AA876" w14:textId="77777777" w:rsidR="00000000" w:rsidRDefault="00436D42">
      <w:pPr>
        <w:tabs>
          <w:tab w:val="left" w:pos="360"/>
        </w:tabs>
        <w:spacing w:line="3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надлежащая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выводу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защищенными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9398090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>
        <w:rPr>
          <w:sz w:val="28"/>
          <w:szCs w:val="28"/>
        </w:rPr>
        <w:t>1885625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>
        <w:rPr>
          <w:sz w:val="28"/>
          <w:szCs w:val="28"/>
        </w:rPr>
        <w:t>1460493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>
        <w:rPr>
          <w:sz w:val="28"/>
          <w:szCs w:val="28"/>
        </w:rPr>
        <w:t>1670021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какие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указать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>.</w:t>
      </w:r>
      <w:proofErr w:type="gramEnd"/>
    </w:p>
    <w:p w14:paraId="345D805F" w14:textId="77777777" w:rsidR="00000000" w:rsidRDefault="00436D42">
      <w:pPr>
        <w:tabs>
          <w:tab w:val="left" w:pos="360"/>
        </w:tabs>
        <w:spacing w:line="3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принявшей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защищенными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9398090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>
        <w:rPr>
          <w:sz w:val="28"/>
          <w:szCs w:val="28"/>
        </w:rPr>
        <w:t>1885625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>
        <w:rPr>
          <w:sz w:val="28"/>
          <w:szCs w:val="28"/>
        </w:rPr>
        <w:t>1460493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>
        <w:rPr>
          <w:sz w:val="28"/>
          <w:szCs w:val="28"/>
        </w:rPr>
        <w:t>1670021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нарушают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65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2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7.30 </w:t>
      </w:r>
      <w:r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правонарушениях</w:t>
      </w:r>
      <w:r>
        <w:rPr>
          <w:sz w:val="28"/>
          <w:szCs w:val="28"/>
        </w:rPr>
        <w:t>.</w:t>
      </w:r>
      <w:proofErr w:type="gramEnd"/>
    </w:p>
    <w:p w14:paraId="02129D9F" w14:textId="77777777" w:rsidR="00000000" w:rsidRDefault="00436D42">
      <w:pPr>
        <w:tabs>
          <w:tab w:val="left" w:pos="360"/>
        </w:tabs>
        <w:spacing w:line="3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тировок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истечении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документацию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</w:t>
      </w:r>
      <w:r>
        <w:rPr>
          <w:sz w:val="28"/>
          <w:szCs w:val="28"/>
        </w:rPr>
        <w:t>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предложенных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>.</w:t>
      </w:r>
      <w:proofErr w:type="gramEnd"/>
    </w:p>
    <w:p w14:paraId="1F359FD3" w14:textId="77777777" w:rsidR="00000000" w:rsidRDefault="00436D42">
      <w:pPr>
        <w:tabs>
          <w:tab w:val="left" w:pos="360"/>
        </w:tabs>
        <w:spacing w:before="6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34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</w:t>
      </w:r>
      <w:r>
        <w:rPr>
          <w:sz w:val="28"/>
          <w:szCs w:val="28"/>
        </w:rPr>
        <w:t>уществлении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подрядчика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исполнителя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документацией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заявкой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окончательным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</w:t>
      </w:r>
      <w:r>
        <w:rPr>
          <w:sz w:val="28"/>
          <w:szCs w:val="28"/>
        </w:rPr>
        <w:t>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подрядчика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исполнителя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документация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окончательное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предусмотрены</w:t>
      </w:r>
      <w:r>
        <w:rPr>
          <w:sz w:val="28"/>
          <w:szCs w:val="28"/>
        </w:rPr>
        <w:t>.</w:t>
      </w:r>
    </w:p>
    <w:p w14:paraId="67412AEF" w14:textId="77777777" w:rsidR="00000000" w:rsidRDefault="00436D42">
      <w:pPr>
        <w:tabs>
          <w:tab w:val="left" w:pos="360"/>
        </w:tabs>
        <w:spacing w:before="6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</w:t>
      </w:r>
      <w:r>
        <w:rPr>
          <w:sz w:val="28"/>
          <w:szCs w:val="28"/>
        </w:rPr>
        <w:t>стью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>статьи</w:t>
      </w:r>
      <w:proofErr w:type="gramEnd"/>
      <w:r>
        <w:rPr>
          <w:sz w:val="28"/>
          <w:szCs w:val="28"/>
        </w:rPr>
        <w:t xml:space="preserve"> 34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подрядчика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исполнителя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ненадлежащее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контрактом</w:t>
      </w:r>
      <w:r>
        <w:rPr>
          <w:sz w:val="28"/>
          <w:szCs w:val="28"/>
        </w:rPr>
        <w:t>.</w:t>
      </w:r>
    </w:p>
    <w:p w14:paraId="4A18F607" w14:textId="77777777" w:rsidR="00000000" w:rsidRDefault="00436D42">
      <w:pPr>
        <w:tabs>
          <w:tab w:val="left" w:pos="360"/>
        </w:tabs>
        <w:spacing w:before="6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</w:t>
      </w:r>
      <w:r>
        <w:rPr>
          <w:sz w:val="28"/>
          <w:szCs w:val="28"/>
        </w:rPr>
        <w:t>ями</w:t>
      </w:r>
      <w:r>
        <w:rPr>
          <w:sz w:val="28"/>
          <w:szCs w:val="28"/>
        </w:rPr>
        <w:t xml:space="preserve"> 5, 7, 8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34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просрочки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пени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определённый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</w:t>
      </w:r>
      <w:r>
        <w:rPr>
          <w:sz w:val="28"/>
          <w:szCs w:val="28"/>
        </w:rPr>
        <w:t>вительством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просрочки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поставщиком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подрядчиком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исполнителем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штрафа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фиксированной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суммы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ненадлежащее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контракту</w:t>
      </w:r>
      <w:r>
        <w:rPr>
          <w:sz w:val="28"/>
          <w:szCs w:val="28"/>
        </w:rPr>
        <w:t>.</w:t>
      </w:r>
    </w:p>
    <w:p w14:paraId="3AA35744" w14:textId="77777777" w:rsidR="00000000" w:rsidRDefault="00436D42">
      <w:pPr>
        <w:tabs>
          <w:tab w:val="left" w:pos="360"/>
        </w:tabs>
        <w:spacing w:before="60" w:line="340" w:lineRule="exact"/>
        <w:jc w:val="both"/>
        <w:rPr>
          <w:sz w:val="28"/>
          <w:szCs w:val="28"/>
        </w:rPr>
      </w:pPr>
    </w:p>
    <w:p w14:paraId="275794AF" w14:textId="77777777" w:rsidR="00000000" w:rsidRDefault="00436D42">
      <w:pPr>
        <w:tabs>
          <w:tab w:val="left" w:pos="360"/>
        </w:tabs>
        <w:spacing w:before="6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штрафа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начисляемого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ненадлежащего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поставщиком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подрядчиком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исполнителем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контрактом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исклю</w:t>
      </w:r>
      <w:r>
        <w:rPr>
          <w:sz w:val="28"/>
          <w:szCs w:val="28"/>
        </w:rPr>
        <w:t>чением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просрочки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поставщиком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подрядчиком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исполнителем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пени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начисляемой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просрочки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поставщиком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подрядчиком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исполнителем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тановлением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25.11.2013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1063.</w:t>
      </w:r>
    </w:p>
    <w:p w14:paraId="65EFD444" w14:textId="77777777" w:rsidR="00000000" w:rsidRDefault="00436D42">
      <w:pPr>
        <w:tabs>
          <w:tab w:val="left" w:pos="360"/>
        </w:tabs>
        <w:spacing w:before="6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истечении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докумен</w:t>
      </w:r>
      <w:r>
        <w:rPr>
          <w:sz w:val="28"/>
          <w:szCs w:val="28"/>
        </w:rPr>
        <w:t>тацию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неустойки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штрафа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пени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прилагаемый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котировок</w:t>
      </w:r>
      <w:r>
        <w:rPr>
          <w:sz w:val="28"/>
          <w:szCs w:val="28"/>
        </w:rPr>
        <w:t>.</w:t>
      </w:r>
    </w:p>
    <w:p w14:paraId="3CAF149D" w14:textId="77777777" w:rsidR="00000000" w:rsidRDefault="00436D42">
      <w:pPr>
        <w:tabs>
          <w:tab w:val="left" w:pos="360"/>
        </w:tabs>
        <w:spacing w:before="6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6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равил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начисляется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просрочки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поставщиком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исполнителем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подрядчиком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не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менее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одной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трехсотой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уплаты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рефи</w:t>
      </w:r>
      <w:r>
        <w:rPr>
          <w:sz w:val="28"/>
          <w:szCs w:val="28"/>
        </w:rPr>
        <w:t>нансирования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банка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уменьшенной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сумму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пропорциональную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поставщиком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подрядчиком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исполнителем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по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формуле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указ</w:t>
      </w:r>
      <w:r>
        <w:rPr>
          <w:sz w:val="28"/>
          <w:szCs w:val="28"/>
        </w:rPr>
        <w:t>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Правилах</w:t>
      </w:r>
      <w:r>
        <w:rPr>
          <w:sz w:val="28"/>
          <w:szCs w:val="28"/>
        </w:rPr>
        <w:t>.</w:t>
      </w:r>
    </w:p>
    <w:p w14:paraId="23B691B2" w14:textId="77777777" w:rsidR="00000000" w:rsidRDefault="00436D42">
      <w:pPr>
        <w:tabs>
          <w:tab w:val="left" w:pos="360"/>
        </w:tabs>
        <w:spacing w:before="60" w:line="3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9.3 </w:t>
      </w:r>
      <w:r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просрочки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гарантийного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учаях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ненадлежащего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Заказчик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уплаты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пеней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начисляется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просрочки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нтрактом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начиная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истечения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1/50 (</w:t>
      </w:r>
      <w:r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пятидесятой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действующей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уплаты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рефинансирования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>
        <w:rPr>
          <w:sz w:val="28"/>
          <w:szCs w:val="28"/>
        </w:rPr>
        <w:t>ентрального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банка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уменьшенной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сумму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пропорциональную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Исполнителем»</w:t>
      </w:r>
      <w:r>
        <w:rPr>
          <w:sz w:val="28"/>
          <w:szCs w:val="28"/>
        </w:rPr>
        <w:t>.</w:t>
      </w:r>
    </w:p>
    <w:p w14:paraId="2E001828" w14:textId="77777777" w:rsidR="00000000" w:rsidRDefault="00436D42">
      <w:pPr>
        <w:tabs>
          <w:tab w:val="left" w:pos="360"/>
        </w:tabs>
        <w:spacing w:before="0" w:line="340" w:lineRule="exact"/>
        <w:jc w:val="both"/>
        <w:rPr>
          <w:sz w:val="28"/>
          <w:szCs w:val="28"/>
        </w:rPr>
      </w:pPr>
    </w:p>
    <w:p w14:paraId="54AB7CBD" w14:textId="77777777" w:rsidR="00000000" w:rsidRDefault="00436D42">
      <w:pPr>
        <w:tabs>
          <w:tab w:val="left" w:pos="360"/>
        </w:tabs>
        <w:spacing w:before="0" w:line="3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9.4 </w:t>
      </w:r>
      <w:r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ненадлежащего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просрочки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гарантийного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предусмотре</w:t>
      </w:r>
      <w:r>
        <w:rPr>
          <w:sz w:val="28"/>
          <w:szCs w:val="28"/>
        </w:rPr>
        <w:t>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Заказчик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уплате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штрафа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штрафа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______ (</w:t>
      </w:r>
      <w:r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прописью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 __________ (</w:t>
      </w:r>
      <w:r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прописью</w:t>
      </w:r>
      <w:r>
        <w:rPr>
          <w:sz w:val="28"/>
          <w:szCs w:val="28"/>
        </w:rPr>
        <w:t>)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14:paraId="51DD4011" w14:textId="77777777" w:rsidR="00000000" w:rsidRDefault="00436D42">
      <w:pPr>
        <w:tabs>
          <w:tab w:val="left" w:pos="360"/>
        </w:tabs>
        <w:spacing w:before="60" w:line="3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9.2 </w:t>
      </w:r>
      <w:r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ненадлежащего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просрочки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уплату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штрафа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штрафа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______ (</w:t>
      </w:r>
      <w:r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прописью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 __________ (</w:t>
      </w:r>
      <w:r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прописью</w:t>
      </w:r>
      <w:r>
        <w:rPr>
          <w:sz w:val="28"/>
          <w:szCs w:val="28"/>
        </w:rPr>
        <w:t>)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14:paraId="2FEFAB1C" w14:textId="77777777" w:rsidR="00000000" w:rsidRDefault="00436D42">
      <w:pPr>
        <w:tabs>
          <w:tab w:val="left" w:pos="360"/>
        </w:tabs>
        <w:spacing w:before="60" w:line="3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штрафа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ненадлежащее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просрочки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.</w:t>
      </w:r>
      <w:proofErr w:type="gramEnd"/>
    </w:p>
    <w:p w14:paraId="18843055" w14:textId="77777777" w:rsidR="00000000" w:rsidRDefault="00436D42">
      <w:pPr>
        <w:tabs>
          <w:tab w:val="left" w:pos="360"/>
        </w:tabs>
        <w:spacing w:before="60" w:line="3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Вышеуказанные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нарушают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5, 7, 8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34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4.2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7.30 </w:t>
      </w:r>
      <w:r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z w:val="28"/>
          <w:szCs w:val="28"/>
        </w:rPr>
        <w:t>онарушениях</w:t>
      </w:r>
      <w:r>
        <w:rPr>
          <w:sz w:val="28"/>
          <w:szCs w:val="28"/>
        </w:rPr>
        <w:t>.</w:t>
      </w:r>
      <w:proofErr w:type="gramEnd"/>
    </w:p>
    <w:p w14:paraId="223EFA95" w14:textId="77777777" w:rsidR="00000000" w:rsidRDefault="00436D42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2</w:t>
      </w:r>
      <w:proofErr w:type="gramStart"/>
      <w:r>
        <w:rPr>
          <w:sz w:val="28"/>
          <w:szCs w:val="28"/>
        </w:rPr>
        <w:t xml:space="preserve">,             </w:t>
      </w:r>
      <w:r>
        <w:rPr>
          <w:sz w:val="28"/>
          <w:szCs w:val="28"/>
        </w:rPr>
        <w:t>пунктом</w:t>
      </w:r>
      <w:proofErr w:type="gramEnd"/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15, </w:t>
      </w:r>
      <w:r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2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22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99, </w:t>
      </w:r>
      <w:r>
        <w:rPr>
          <w:sz w:val="28"/>
          <w:szCs w:val="28"/>
        </w:rPr>
        <w:t>частью</w:t>
      </w:r>
      <w:r>
        <w:rPr>
          <w:sz w:val="28"/>
          <w:szCs w:val="28"/>
        </w:rPr>
        <w:t xml:space="preserve"> 8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106, </w:t>
      </w:r>
      <w:r>
        <w:rPr>
          <w:sz w:val="28"/>
          <w:szCs w:val="28"/>
        </w:rPr>
        <w:t>частью</w:t>
      </w:r>
      <w:r>
        <w:rPr>
          <w:sz w:val="28"/>
          <w:szCs w:val="28"/>
        </w:rPr>
        <w:t xml:space="preserve"> 1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112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Комиссия</w:t>
      </w:r>
    </w:p>
    <w:p w14:paraId="651FE777" w14:textId="77777777" w:rsidR="00000000" w:rsidRDefault="00436D42">
      <w:pPr>
        <w:spacing w:before="200" w:after="200" w:line="3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14:paraId="13FFA90F" w14:textId="77777777" w:rsidR="00000000" w:rsidRDefault="00436D42">
      <w:pPr>
        <w:spacing w:before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жалобу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ФГБУ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«Управле</w:t>
      </w:r>
      <w:r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техническим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обеспечением»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обоснованной</w:t>
      </w:r>
      <w:r>
        <w:rPr>
          <w:sz w:val="28"/>
          <w:szCs w:val="28"/>
        </w:rPr>
        <w:t>.</w:t>
      </w:r>
      <w:proofErr w:type="gramEnd"/>
    </w:p>
    <w:p w14:paraId="52055C58" w14:textId="77777777" w:rsidR="00000000" w:rsidRDefault="00436D42">
      <w:pPr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>статьи</w:t>
      </w:r>
      <w:proofErr w:type="gramEnd"/>
      <w:r>
        <w:rPr>
          <w:sz w:val="28"/>
          <w:szCs w:val="28"/>
        </w:rPr>
        <w:t xml:space="preserve"> 67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>.</w:t>
      </w:r>
    </w:p>
    <w:p w14:paraId="32B48924" w14:textId="77777777" w:rsidR="00000000" w:rsidRDefault="00436D42">
      <w:pPr>
        <w:spacing w:line="34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</w:t>
      </w:r>
      <w:r>
        <w:rPr>
          <w:sz w:val="28"/>
          <w:szCs w:val="28"/>
        </w:rPr>
        <w:t>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5, 7, 8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34, </w:t>
      </w:r>
      <w:r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2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64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>.</w:t>
      </w:r>
      <w:proofErr w:type="gramEnd"/>
    </w:p>
    <w:p w14:paraId="52FDF681" w14:textId="77777777" w:rsidR="00000000" w:rsidRDefault="00436D42">
      <w:pPr>
        <w:rPr>
          <w:sz w:val="28"/>
          <w:szCs w:val="28"/>
        </w:rPr>
      </w:pPr>
    </w:p>
    <w:p w14:paraId="73E69730" w14:textId="77777777" w:rsidR="00000000" w:rsidRDefault="00436D42">
      <w:pPr>
        <w:spacing w:after="20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Выдать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Оператору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предписание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>.</w:t>
      </w:r>
      <w:proofErr w:type="gramEnd"/>
    </w:p>
    <w:p w14:paraId="704314F4" w14:textId="77777777" w:rsidR="00000000" w:rsidRDefault="00436D42">
      <w:pPr>
        <w:spacing w:before="0" w:after="200"/>
        <w:ind w:firstLine="9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Передать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атериалы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24.12.2014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-1926/14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лицу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возбуждении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правонарушениях</w:t>
      </w:r>
      <w:r>
        <w:rPr>
          <w:sz w:val="28"/>
          <w:szCs w:val="28"/>
        </w:rPr>
        <w:t>.</w:t>
      </w:r>
      <w:proofErr w:type="gramEnd"/>
    </w:p>
    <w:p w14:paraId="5887D30B" w14:textId="77777777" w:rsidR="00000000" w:rsidRDefault="00436D42">
      <w:pPr>
        <w:spacing w:before="0" w:line="3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обжаловано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суде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арбитражном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z w:val="28"/>
          <w:szCs w:val="28"/>
        </w:rPr>
        <w:t>.</w:t>
      </w:r>
      <w:proofErr w:type="gramEnd"/>
    </w:p>
    <w:p w14:paraId="6DB83751" w14:textId="77777777" w:rsidR="00000000" w:rsidRDefault="00436D42">
      <w:pPr>
        <w:spacing w:before="0" w:line="340" w:lineRule="exact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4795"/>
      </w:tblGrid>
      <w:tr w:rsidR="00000000" w14:paraId="3919DA21" w14:textId="77777777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F2F14F6" w14:textId="77777777" w:rsidR="00000000" w:rsidRDefault="00436D42">
            <w:pPr>
              <w:spacing w:before="0" w:line="340" w:lineRule="exact"/>
              <w:ind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Ведущий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заседание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Комиссии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C4408FE" w14:textId="77777777" w:rsidR="00000000" w:rsidRDefault="00436D42">
            <w:pPr>
              <w:spacing w:before="0" w:line="340" w:lineRule="exact"/>
              <w:ind w:right="-72" w:firstLine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Нестеренко</w:t>
            </w:r>
          </w:p>
        </w:tc>
      </w:tr>
      <w:tr w:rsidR="00000000" w14:paraId="2FFB0AC2" w14:textId="77777777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FD2065F" w14:textId="77777777" w:rsidR="00000000" w:rsidRDefault="00436D42">
            <w:pPr>
              <w:spacing w:before="0" w:line="340" w:lineRule="exact"/>
              <w:ind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74B30F2" w14:textId="77777777" w:rsidR="00000000" w:rsidRDefault="00436D42">
            <w:pPr>
              <w:spacing w:before="0" w:after="20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0AA183DE" w14:textId="77777777" w:rsidR="00000000" w:rsidRDefault="00436D42">
            <w:pPr>
              <w:spacing w:before="0" w:line="340" w:lineRule="exact"/>
              <w:ind w:firstLine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Члены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Комиссии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14C87DA" w14:textId="77777777" w:rsidR="00000000" w:rsidRDefault="00436D42">
            <w:pPr>
              <w:spacing w:before="0" w:line="340" w:lineRule="exact"/>
              <w:ind w:right="-72" w:firstLine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004BCD8" w14:textId="77777777" w:rsidR="00000000" w:rsidRDefault="00436D42">
            <w:pPr>
              <w:spacing w:before="0" w:after="20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0CD6DAD" w14:textId="77777777" w:rsidR="00000000" w:rsidRDefault="00436D42">
            <w:pPr>
              <w:spacing w:before="0" w:line="340" w:lineRule="exact"/>
              <w:ind w:right="-72" w:firstLine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Шипунова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14:paraId="13F5836E" w14:textId="77777777" w:rsidR="00000000" w:rsidRDefault="00436D42">
            <w:pPr>
              <w:spacing w:before="0" w:line="340" w:lineRule="exact"/>
              <w:ind w:right="-72" w:firstLine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CBFD6EC" w14:textId="77777777" w:rsidR="00000000" w:rsidRDefault="00436D42">
            <w:pPr>
              <w:spacing w:before="0" w:after="20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6A4EBE8" w14:textId="77777777" w:rsidR="00000000" w:rsidRDefault="00436D42">
            <w:pPr>
              <w:spacing w:before="0" w:line="340" w:lineRule="exact"/>
              <w:ind w:right="-72" w:firstLine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Матаев</w:t>
            </w:r>
          </w:p>
        </w:tc>
      </w:tr>
    </w:tbl>
    <w:p w14:paraId="4CD88879" w14:textId="77777777" w:rsidR="00000000" w:rsidRDefault="00436D42">
      <w:pPr>
        <w:spacing w:before="0" w:line="340" w:lineRule="exact"/>
        <w:ind w:firstLine="0"/>
        <w:rPr>
          <w:rFonts w:ascii="Times New Roman CYR" w:hAnsi="Times New Roman CYR" w:cs="Times New Roman CYR"/>
          <w:sz w:val="28"/>
          <w:szCs w:val="28"/>
        </w:rPr>
      </w:pPr>
    </w:p>
    <w:p w14:paraId="29F85530" w14:textId="77777777" w:rsidR="00000000" w:rsidRDefault="00436D42">
      <w:pPr>
        <w:spacing w:before="0" w:after="192"/>
        <w:ind w:firstLine="0"/>
        <w:rPr>
          <w:rFonts w:ascii="Times New Roman CYR" w:hAnsi="Times New Roman CYR" w:cs="Times New Roman CYR"/>
          <w:sz w:val="28"/>
          <w:szCs w:val="28"/>
        </w:rPr>
      </w:pPr>
    </w:p>
    <w:p w14:paraId="36E8D400" w14:textId="77777777" w:rsidR="00000000" w:rsidRDefault="00436D42">
      <w:pPr>
        <w:spacing w:before="0" w:after="192"/>
        <w:ind w:firstLine="0"/>
        <w:rPr>
          <w:rFonts w:ascii="Times New Roman CYR" w:hAnsi="Times New Roman CYR" w:cs="Times New Roman CYR"/>
          <w:sz w:val="28"/>
          <w:szCs w:val="28"/>
        </w:rPr>
      </w:pPr>
    </w:p>
    <w:p w14:paraId="1D19DB5E" w14:textId="77777777" w:rsidR="00000000" w:rsidRDefault="00436D42">
      <w:pPr>
        <w:spacing w:before="0" w:after="200"/>
        <w:ind w:firstLine="0"/>
        <w:rPr>
          <w:rFonts w:ascii="Times New Roman CYR" w:hAnsi="Times New Roman CYR" w:cs="Times New Roman CYR"/>
          <w:sz w:val="28"/>
          <w:szCs w:val="28"/>
        </w:rPr>
      </w:pPr>
    </w:p>
    <w:p w14:paraId="0401770D" w14:textId="77777777" w:rsidR="00000000" w:rsidRDefault="00436D42">
      <w:pPr>
        <w:spacing w:before="0" w:after="200"/>
        <w:ind w:firstLine="0"/>
        <w:rPr>
          <w:rFonts w:ascii="Times New Roman CYR" w:hAnsi="Times New Roman CYR" w:cs="Times New Roman CYR"/>
          <w:sz w:val="28"/>
          <w:szCs w:val="28"/>
        </w:rPr>
      </w:pPr>
    </w:p>
    <w:p w14:paraId="4740CF4A" w14:textId="77777777" w:rsidR="00000000" w:rsidRDefault="00436D42">
      <w:pPr>
        <w:rPr>
          <w:rFonts w:ascii="Times New Roman CYR" w:hAnsi="Times New Roman CYR" w:cs="Times New Roman CYR"/>
          <w:sz w:val="28"/>
          <w:szCs w:val="28"/>
        </w:rPr>
      </w:pPr>
    </w:p>
    <w:p w14:paraId="1C5D321C" w14:textId="77777777" w:rsidR="00000000" w:rsidRDefault="00436D42">
      <w:pPr>
        <w:rPr>
          <w:rFonts w:ascii="Times New Roman CYR" w:hAnsi="Times New Roman CYR" w:cs="Times New Roman CYR"/>
          <w:sz w:val="28"/>
          <w:szCs w:val="28"/>
        </w:rPr>
      </w:pPr>
    </w:p>
    <w:p w14:paraId="3E58290C" w14:textId="77777777" w:rsidR="00000000" w:rsidRDefault="00436D42">
      <w:pPr>
        <w:rPr>
          <w:rFonts w:ascii="Times New Roman CYR" w:hAnsi="Times New Roman CYR" w:cs="Times New Roman CYR"/>
          <w:sz w:val="28"/>
          <w:szCs w:val="28"/>
        </w:rPr>
      </w:pPr>
    </w:p>
    <w:p w14:paraId="572B9922" w14:textId="77777777" w:rsidR="00000000" w:rsidRDefault="00436D42">
      <w:pPr>
        <w:rPr>
          <w:rFonts w:ascii="Times New Roman CYR" w:hAnsi="Times New Roman CYR" w:cs="Times New Roman CYR"/>
          <w:sz w:val="28"/>
          <w:szCs w:val="28"/>
        </w:rPr>
      </w:pPr>
    </w:p>
    <w:p w14:paraId="3E9E9D25" w14:textId="77777777" w:rsidR="00000000" w:rsidRDefault="00436D42">
      <w:pPr>
        <w:rPr>
          <w:rFonts w:ascii="Times New Roman CYR" w:hAnsi="Times New Roman CYR" w:cs="Times New Roman CYR"/>
          <w:sz w:val="28"/>
          <w:szCs w:val="28"/>
        </w:rPr>
      </w:pPr>
    </w:p>
    <w:p w14:paraId="65FF6E94" w14:textId="77777777" w:rsidR="00000000" w:rsidRDefault="00436D42">
      <w:pPr>
        <w:rPr>
          <w:rFonts w:ascii="Times New Roman CYR" w:hAnsi="Times New Roman CYR" w:cs="Times New Roman CYR"/>
          <w:sz w:val="28"/>
          <w:szCs w:val="28"/>
        </w:rPr>
      </w:pPr>
    </w:p>
    <w:p w14:paraId="13421150" w14:textId="77777777" w:rsidR="00000000" w:rsidRDefault="00436D42">
      <w:pPr>
        <w:rPr>
          <w:rFonts w:ascii="Times New Roman CYR" w:hAnsi="Times New Roman CYR" w:cs="Times New Roman CYR"/>
          <w:sz w:val="28"/>
          <w:szCs w:val="28"/>
        </w:rPr>
      </w:pPr>
    </w:p>
    <w:p w14:paraId="689EF2F7" w14:textId="77777777" w:rsidR="00000000" w:rsidRDefault="00436D42">
      <w:pPr>
        <w:rPr>
          <w:rFonts w:ascii="Times New Roman CYR" w:hAnsi="Times New Roman CYR" w:cs="Times New Roman CYR"/>
          <w:sz w:val="28"/>
          <w:szCs w:val="28"/>
        </w:rPr>
      </w:pPr>
    </w:p>
    <w:p w14:paraId="34DBE3D2" w14:textId="77777777" w:rsidR="00000000" w:rsidRDefault="00436D42">
      <w:pPr>
        <w:spacing w:before="0"/>
        <w:ind w:firstLine="0"/>
        <w:rPr>
          <w:sz w:val="20"/>
          <w:szCs w:val="20"/>
        </w:rPr>
      </w:pPr>
    </w:p>
    <w:p w14:paraId="72BFACF4" w14:textId="77777777" w:rsidR="00000000" w:rsidRDefault="00436D42">
      <w:pPr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>Бондар</w:t>
      </w:r>
      <w:r>
        <w:rPr>
          <w:sz w:val="20"/>
          <w:szCs w:val="20"/>
        </w:rPr>
        <w:t>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>
        <w:rPr>
          <w:sz w:val="20"/>
          <w:szCs w:val="20"/>
        </w:rPr>
        <w:t>.</w:t>
      </w:r>
      <w:r>
        <w:rPr>
          <w:sz w:val="20"/>
          <w:szCs w:val="20"/>
        </w:rPr>
        <w:t>А</w:t>
      </w:r>
      <w:r>
        <w:rPr>
          <w:sz w:val="20"/>
          <w:szCs w:val="20"/>
        </w:rPr>
        <w:t>.</w:t>
      </w:r>
    </w:p>
    <w:p w14:paraId="3E5AF949" w14:textId="77777777" w:rsidR="00000000" w:rsidRDefault="00436D42">
      <w:pPr>
        <w:spacing w:before="0"/>
        <w:ind w:firstLine="0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(499) 755-23-23 (088-680)</w:t>
      </w:r>
    </w:p>
    <w:sectPr w:rsidR="00000000">
      <w:headerReference w:type="default" r:id="rId8"/>
      <w:pgSz w:w="11907" w:h="16389" w:code="9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4F121" w14:textId="77777777" w:rsidR="00000000" w:rsidRDefault="00436D42">
      <w:pPr>
        <w:spacing w:before="0"/>
      </w:pPr>
      <w:r>
        <w:separator/>
      </w:r>
    </w:p>
  </w:endnote>
  <w:endnote w:type="continuationSeparator" w:id="0">
    <w:p w14:paraId="038D1682" w14:textId="77777777" w:rsidR="00000000" w:rsidRDefault="00436D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A4E0B" w14:textId="77777777" w:rsidR="00000000" w:rsidRDefault="00436D42">
      <w:pPr>
        <w:spacing w:before="0"/>
      </w:pPr>
      <w:r>
        <w:separator/>
      </w:r>
    </w:p>
  </w:footnote>
  <w:footnote w:type="continuationSeparator" w:id="0">
    <w:p w14:paraId="65C44AAD" w14:textId="77777777" w:rsidR="00000000" w:rsidRDefault="00436D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2DA9" w14:textId="77777777" w:rsidR="00000000" w:rsidRDefault="00436D42">
    <w:pPr>
      <w:pStyle w:val="a3"/>
      <w:tabs>
        <w:tab w:val="center" w:pos="4677"/>
        <w:tab w:val="right" w:pos="9355"/>
      </w:tabs>
      <w:spacing w:after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5CA71C7" w14:textId="77777777" w:rsidR="00000000" w:rsidRDefault="00436D42">
    <w:pPr>
      <w:pStyle w:val="a3"/>
      <w:tabs>
        <w:tab w:val="center" w:pos="4677"/>
        <w:tab w:val="right" w:pos="9355"/>
      </w:tabs>
      <w:spacing w:after="19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F086"/>
    <w:multiLevelType w:val="hybridMultilevel"/>
    <w:tmpl w:val="FFFFFFFF"/>
    <w:lvl w:ilvl="0" w:tplc="D1B6CEB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D1B6CEB4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D1B6CEB4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D1B6CEB4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D1B6CEB4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D1B6CEB4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D1B6CEB4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1">
    <w:nsid w:val="186E3B70"/>
    <w:multiLevelType w:val="hybridMultilevel"/>
    <w:tmpl w:val="FFFFFFFF"/>
    <w:lvl w:ilvl="0" w:tplc="D1B6CEB4">
      <w:start w:val="1"/>
      <w:numFmt w:val="decimal"/>
      <w:lvlText w:val="%1)"/>
      <w:lvlJc w:val="left"/>
      <w:pPr>
        <w:ind w:firstLine="426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2">
    <w:nsid w:val="1D9D873B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3">
    <w:nsid w:val="1F221DBE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4">
    <w:nsid w:val="22821313"/>
    <w:multiLevelType w:val="hybridMultilevel"/>
    <w:tmpl w:val="660A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28D6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35" w:hanging="359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6">
    <w:nsid w:val="2C87BA68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7">
    <w:nsid w:val="2E8F5A29"/>
    <w:multiLevelType w:val="hybridMultilevel"/>
    <w:tmpl w:val="1E3E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63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3C217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9">
    <w:nsid w:val="3310243C"/>
    <w:multiLevelType w:val="hybridMultilevel"/>
    <w:tmpl w:val="FFFFFFFF"/>
    <w:lvl w:ilvl="0" w:tplc="D1B6CEB4">
      <w:start w:val="1"/>
      <w:numFmt w:val="decimal"/>
      <w:lvlText w:val="%1."/>
      <w:lvlJc w:val="left"/>
      <w:pPr>
        <w:ind w:left="79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32" w:hanging="168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52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92" w:hanging="168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12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52" w:hanging="168"/>
      </w:pPr>
      <w:rPr>
        <w:color w:val="000000"/>
      </w:rPr>
    </w:lvl>
  </w:abstractNum>
  <w:abstractNum w:abstractNumId="10">
    <w:nsid w:val="3C413D29"/>
    <w:multiLevelType w:val="hybridMultilevel"/>
    <w:tmpl w:val="32344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63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D189A"/>
    <w:multiLevelType w:val="hybridMultilevel"/>
    <w:tmpl w:val="F94A53E6"/>
    <w:lvl w:ilvl="0" w:tplc="EB56EB00">
      <w:start w:val="1"/>
      <w:numFmt w:val="bullet"/>
      <w:lvlText w:val="-"/>
      <w:lvlJc w:val="left"/>
      <w:pPr>
        <w:ind w:left="1080" w:hanging="360"/>
      </w:pPr>
      <w:rPr>
        <w:rFonts w:ascii="Cambria" w:eastAsia="ＭＳ 明朝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257D89"/>
    <w:multiLevelType w:val="hybridMultilevel"/>
    <w:tmpl w:val="9D5AF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63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961C2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4">
    <w:nsid w:val="449F438D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5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6">
    <w:nsid w:val="54211D01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7">
    <w:nsid w:val="56ECB071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8">
    <w:nsid w:val="57467C4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35" w:hanging="503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9">
    <w:nsid w:val="6ADE1431"/>
    <w:multiLevelType w:val="multilevel"/>
    <w:tmpl w:val="FFFFFFFF"/>
    <w:lvl w:ilvl="0">
      <w:start w:val="1"/>
      <w:numFmt w:val="decimal"/>
      <w:lvlText w:val="%1."/>
      <w:lvlJc w:val="left"/>
      <w:pPr>
        <w:ind w:left="360" w:firstLine="72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  <w:sz w:val="22"/>
        <w:szCs w:val="22"/>
      </w:rPr>
    </w:lvl>
  </w:abstractNum>
  <w:abstractNum w:abstractNumId="20">
    <w:nsid w:val="713D4A90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21">
    <w:nsid w:val="713F19D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  <w:sz w:val="22"/>
        <w:szCs w:val="22"/>
      </w:rPr>
    </w:lvl>
  </w:abstractNum>
  <w:abstractNum w:abstractNumId="22">
    <w:nsid w:val="7C8B311A"/>
    <w:multiLevelType w:val="hybridMultilevel"/>
    <w:tmpl w:val="E6E8F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63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31C33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20"/>
  </w:num>
  <w:num w:numId="7">
    <w:abstractNumId w:val="21"/>
  </w:num>
  <w:num w:numId="8">
    <w:abstractNumId w:val="19"/>
  </w:num>
  <w:num w:numId="9">
    <w:abstractNumId w:val="2"/>
  </w:num>
  <w:num w:numId="10">
    <w:abstractNumId w:val="8"/>
  </w:num>
  <w:num w:numId="11">
    <w:abstractNumId w:val="17"/>
  </w:num>
  <w:num w:numId="12">
    <w:abstractNumId w:val="23"/>
  </w:num>
  <w:num w:numId="13">
    <w:abstractNumId w:val="1"/>
  </w:num>
  <w:num w:numId="14">
    <w:abstractNumId w:val="16"/>
  </w:num>
  <w:num w:numId="15">
    <w:abstractNumId w:val="18"/>
  </w:num>
  <w:num w:numId="16">
    <w:abstractNumId w:val="13"/>
  </w:num>
  <w:num w:numId="17">
    <w:abstractNumId w:val="5"/>
  </w:num>
  <w:num w:numId="18">
    <w:abstractNumId w:val="6"/>
  </w:num>
  <w:num w:numId="19">
    <w:abstractNumId w:val="3"/>
  </w:num>
  <w:num w:numId="20">
    <w:abstractNumId w:val="15"/>
  </w:num>
  <w:num w:numId="21">
    <w:abstractNumId w:val="4"/>
  </w:num>
  <w:num w:numId="22">
    <w:abstractNumId w:val="11"/>
  </w:num>
  <w:num w:numId="23">
    <w:abstractNumId w:val="22"/>
  </w:num>
  <w:num w:numId="24">
    <w:abstractNumId w:val="10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6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A3"/>
    <w:rsid w:val="002C04A3"/>
    <w:rsid w:val="0043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AA85DF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20" w:after="0"/>
      <w:ind w:firstLine="849"/>
    </w:pPr>
    <w:rPr>
      <w:color w:val="000000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pPr>
      <w:spacing w:before="0"/>
      <w:ind w:firstLine="0"/>
    </w:pPr>
    <w:rPr>
      <w:rFonts w:ascii="Arial" w:hAnsi="Arial" w:cs="Arial"/>
      <w:sz w:val="20"/>
      <w:szCs w:val="20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pPr>
      <w:spacing w:before="0"/>
      <w:ind w:firstLine="0"/>
      <w:jc w:val="both"/>
    </w:pPr>
    <w:rPr>
      <w:sz w:val="28"/>
      <w:szCs w:val="28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pPr>
      <w:spacing w:before="0"/>
      <w:ind w:left="5664" w:firstLine="0"/>
    </w:pPr>
    <w:rPr>
      <w:sz w:val="28"/>
      <w:szCs w:val="28"/>
    </w:rPr>
  </w:style>
  <w:style w:type="paragraph" w:customStyle="1" w:styleId="c7c7c7ededede0e0e0eaeaea">
    <w:name w:val="Зc7c7c7нedededаe0e0e0кeaeaea"/>
    <w:basedOn w:val="a"/>
    <w:uiPriority w:val="99"/>
    <w:pPr>
      <w:spacing w:before="0" w:after="144"/>
      <w:ind w:firstLine="0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pPr>
      <w:spacing w:before="0"/>
      <w:ind w:firstLine="0"/>
    </w:pPr>
  </w:style>
  <w:style w:type="paragraph" w:styleId="a5">
    <w:name w:val="List Paragraph"/>
    <w:basedOn w:val="a"/>
    <w:uiPriority w:val="34"/>
    <w:qFormat/>
    <w:rsid w:val="002C04A3"/>
    <w:pPr>
      <w:widowControl/>
      <w:autoSpaceDE/>
      <w:autoSpaceDN/>
      <w:adjustRightInd/>
      <w:spacing w:before="0"/>
      <w:ind w:left="720" w:firstLine="0"/>
      <w:contextualSpacing/>
    </w:pPr>
    <w:rPr>
      <w:rFonts w:ascii="Cambria" w:eastAsia="ＭＳ 明朝" w:hAnsi="Cambria"/>
      <w:color w:val="auto"/>
      <w:sz w:val="24"/>
      <w:szCs w:val="24"/>
      <w:lang w:val="ru-RU"/>
    </w:rPr>
  </w:style>
  <w:style w:type="paragraph" w:styleId="a6">
    <w:name w:val="footer"/>
    <w:basedOn w:val="a"/>
    <w:link w:val="a7"/>
    <w:uiPriority w:val="99"/>
    <w:pPr>
      <w:spacing w:before="0"/>
      <w:ind w:firstLine="0"/>
    </w:p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character" w:customStyle="1" w:styleId="LineNumber">
    <w:name w:val="Line Number"/>
    <w:basedOn w:val="a0"/>
    <w:uiPriority w:val="99"/>
    <w:rPr>
      <w:color w:val="000000"/>
      <w:sz w:val="28"/>
      <w:szCs w:val="28"/>
    </w:rPr>
  </w:style>
  <w:style w:type="character" w:styleId="a8">
    <w:name w:val="Hyperlink"/>
    <w:basedOn w:val="a0"/>
    <w:uiPriority w:val="99"/>
    <w:rPr>
      <w:color w:val="0000FF"/>
      <w:sz w:val="28"/>
      <w:szCs w:val="28"/>
      <w:u w:val="single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 w:cs="Calibri"/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20" w:after="0"/>
      <w:ind w:firstLine="849"/>
    </w:pPr>
    <w:rPr>
      <w:color w:val="000000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pPr>
      <w:spacing w:before="0"/>
      <w:ind w:firstLine="0"/>
    </w:pPr>
    <w:rPr>
      <w:rFonts w:ascii="Arial" w:hAnsi="Arial" w:cs="Arial"/>
      <w:sz w:val="20"/>
      <w:szCs w:val="20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pPr>
      <w:spacing w:before="0"/>
      <w:ind w:firstLine="0"/>
      <w:jc w:val="both"/>
    </w:pPr>
    <w:rPr>
      <w:sz w:val="28"/>
      <w:szCs w:val="28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pPr>
      <w:spacing w:before="0"/>
      <w:ind w:left="5664" w:firstLine="0"/>
    </w:pPr>
    <w:rPr>
      <w:sz w:val="28"/>
      <w:szCs w:val="28"/>
    </w:rPr>
  </w:style>
  <w:style w:type="paragraph" w:customStyle="1" w:styleId="c7c7c7ededede0e0e0eaeaea">
    <w:name w:val="Зc7c7c7нedededаe0e0e0кeaeaea"/>
    <w:basedOn w:val="a"/>
    <w:uiPriority w:val="99"/>
    <w:pPr>
      <w:spacing w:before="0" w:after="144"/>
      <w:ind w:firstLine="0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pPr>
      <w:spacing w:before="0"/>
      <w:ind w:firstLine="0"/>
    </w:pPr>
  </w:style>
  <w:style w:type="paragraph" w:styleId="a5">
    <w:name w:val="List Paragraph"/>
    <w:basedOn w:val="a"/>
    <w:uiPriority w:val="34"/>
    <w:qFormat/>
    <w:rsid w:val="002C04A3"/>
    <w:pPr>
      <w:widowControl/>
      <w:autoSpaceDE/>
      <w:autoSpaceDN/>
      <w:adjustRightInd/>
      <w:spacing w:before="0"/>
      <w:ind w:left="720" w:firstLine="0"/>
      <w:contextualSpacing/>
    </w:pPr>
    <w:rPr>
      <w:rFonts w:ascii="Cambria" w:eastAsia="ＭＳ 明朝" w:hAnsi="Cambria"/>
      <w:color w:val="auto"/>
      <w:sz w:val="24"/>
      <w:szCs w:val="24"/>
      <w:lang w:val="ru-RU"/>
    </w:rPr>
  </w:style>
  <w:style w:type="paragraph" w:styleId="a6">
    <w:name w:val="footer"/>
    <w:basedOn w:val="a"/>
    <w:link w:val="a7"/>
    <w:uiPriority w:val="99"/>
    <w:pPr>
      <w:spacing w:before="0"/>
      <w:ind w:firstLine="0"/>
    </w:p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character" w:customStyle="1" w:styleId="LineNumber">
    <w:name w:val="Line Number"/>
    <w:basedOn w:val="a0"/>
    <w:uiPriority w:val="99"/>
    <w:rPr>
      <w:color w:val="000000"/>
      <w:sz w:val="28"/>
      <w:szCs w:val="28"/>
    </w:rPr>
  </w:style>
  <w:style w:type="character" w:styleId="a8">
    <w:name w:val="Hyperlink"/>
    <w:basedOn w:val="a0"/>
    <w:uiPriority w:val="99"/>
    <w:rPr>
      <w:color w:val="0000FF"/>
      <w:sz w:val="28"/>
      <w:szCs w:val="28"/>
      <w:u w:val="single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 w:cs="Calibri"/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2586</Words>
  <Characters>16189</Characters>
  <Application>Microsoft Macintosh Word</Application>
  <DocSecurity>0</DocSecurity>
  <Lines>437</Lines>
  <Paragraphs>191</Paragraphs>
  <ScaleCrop>false</ScaleCrop>
  <Company/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MCusers</cp:lastModifiedBy>
  <cp:revision>3</cp:revision>
  <dcterms:created xsi:type="dcterms:W3CDTF">2015-01-09T18:02:00Z</dcterms:created>
  <dcterms:modified xsi:type="dcterms:W3CDTF">2015-01-09T18:06:00Z</dcterms:modified>
</cp:coreProperties>
</file>